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13" w:rsidRDefault="008C2813" w:rsidP="008C2813">
      <w:pPr>
        <w:ind w:left="705" w:hanging="705"/>
        <w:jc w:val="center"/>
        <w:rPr>
          <w:b/>
          <w:sz w:val="28"/>
          <w:szCs w:val="28"/>
        </w:rPr>
      </w:pPr>
    </w:p>
    <w:p w:rsidR="00A4185F" w:rsidRPr="00A4185F" w:rsidRDefault="00A4185F" w:rsidP="008C2813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8C2813">
        <w:rPr>
          <w:b/>
          <w:sz w:val="28"/>
          <w:szCs w:val="28"/>
        </w:rPr>
        <w:t> 13</w:t>
      </w:r>
      <w:r w:rsidR="00ED2385">
        <w:rPr>
          <w:b/>
          <w:sz w:val="28"/>
          <w:szCs w:val="28"/>
        </w:rPr>
        <w:t xml:space="preserve">. kontrolního dne stavby dne </w:t>
      </w:r>
      <w:r w:rsidR="008C2813">
        <w:rPr>
          <w:b/>
          <w:sz w:val="28"/>
          <w:szCs w:val="28"/>
        </w:rPr>
        <w:t>18</w:t>
      </w:r>
      <w:r w:rsidR="007E6FFC">
        <w:rPr>
          <w:b/>
          <w:sz w:val="28"/>
          <w:szCs w:val="28"/>
        </w:rPr>
        <w:t>.</w:t>
      </w:r>
      <w:r w:rsidR="000A78A4">
        <w:rPr>
          <w:b/>
          <w:sz w:val="28"/>
          <w:szCs w:val="28"/>
        </w:rPr>
        <w:t xml:space="preserve"> </w:t>
      </w:r>
      <w:r w:rsidR="00EB0F06">
        <w:rPr>
          <w:b/>
          <w:sz w:val="28"/>
          <w:szCs w:val="28"/>
        </w:rPr>
        <w:t>9</w:t>
      </w:r>
      <w:r w:rsidRPr="00A4185F">
        <w:rPr>
          <w:b/>
          <w:sz w:val="28"/>
          <w:szCs w:val="28"/>
        </w:rPr>
        <w:t>.</w:t>
      </w:r>
      <w:r w:rsidR="000A78A4">
        <w:rPr>
          <w:b/>
          <w:sz w:val="28"/>
          <w:szCs w:val="28"/>
        </w:rPr>
        <w:t xml:space="preserve"> </w:t>
      </w:r>
      <w:r w:rsidRPr="00A4185F">
        <w:rPr>
          <w:b/>
          <w:sz w:val="28"/>
          <w:szCs w:val="28"/>
        </w:rPr>
        <w:t>2014</w:t>
      </w:r>
    </w:p>
    <w:p w:rsidR="008038A7" w:rsidRPr="005F5539" w:rsidRDefault="00A4185F" w:rsidP="00A4185F">
      <w:pPr>
        <w:ind w:left="708" w:hanging="708"/>
        <w:rPr>
          <w:rFonts w:cs="Times New Roman"/>
          <w:b/>
          <w:sz w:val="20"/>
          <w:szCs w:val="20"/>
        </w:rPr>
      </w:pPr>
      <w:r w:rsidRPr="005F5539">
        <w:rPr>
          <w:b/>
          <w:sz w:val="20"/>
          <w:szCs w:val="20"/>
        </w:rPr>
        <w:t>Stavba:</w:t>
      </w:r>
      <w:r w:rsidRPr="005F5539">
        <w:rPr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Revitalizace areálu klášterů Český Krumlov - oprava a rekonstrukce ar</w:t>
      </w:r>
      <w:r w:rsidR="008768EE" w:rsidRPr="005F5539">
        <w:rPr>
          <w:rFonts w:cs="Times New Roman"/>
          <w:sz w:val="20"/>
          <w:szCs w:val="20"/>
        </w:rPr>
        <w:t>eálu bývalého kláštera minoritů</w:t>
      </w:r>
    </w:p>
    <w:p w:rsidR="00A4185F" w:rsidRPr="005F5539" w:rsidRDefault="00A4185F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Místo jednání:</w:t>
      </w:r>
      <w:r w:rsidRPr="005F5539">
        <w:rPr>
          <w:rFonts w:cs="Times New Roman"/>
          <w:sz w:val="20"/>
          <w:szCs w:val="20"/>
        </w:rPr>
        <w:t xml:space="preserve"> </w:t>
      </w:r>
      <w:r w:rsidR="002B40C1" w:rsidRPr="005F5539">
        <w:rPr>
          <w:rFonts w:cs="Times New Roman"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 xml:space="preserve">Český Krumlov – objekt bývalého kláštera </w:t>
      </w:r>
      <w:r w:rsidR="008768EE" w:rsidRPr="005F5539">
        <w:rPr>
          <w:rFonts w:cs="Times New Roman"/>
          <w:sz w:val="20"/>
          <w:szCs w:val="20"/>
        </w:rPr>
        <w:t>minoritů</w:t>
      </w:r>
    </w:p>
    <w:p w:rsidR="00E53C95" w:rsidRPr="005F5539" w:rsidRDefault="00E53C95" w:rsidP="00A4185F">
      <w:pPr>
        <w:ind w:left="708" w:hanging="708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Počet stran zápisu:</w:t>
      </w:r>
      <w:r w:rsidR="002B40C1" w:rsidRPr="005F5539">
        <w:rPr>
          <w:rFonts w:cs="Times New Roman"/>
          <w:b/>
          <w:sz w:val="20"/>
          <w:szCs w:val="20"/>
        </w:rPr>
        <w:t xml:space="preserve"> </w:t>
      </w:r>
      <w:r w:rsidR="002B40C1" w:rsidRPr="005F5539">
        <w:rPr>
          <w:rFonts w:cs="Times New Roman"/>
          <w:b/>
          <w:sz w:val="20"/>
          <w:szCs w:val="20"/>
        </w:rPr>
        <w:tab/>
      </w:r>
      <w:r w:rsidR="00BB0FF1">
        <w:rPr>
          <w:rFonts w:cs="Times New Roman"/>
          <w:sz w:val="20"/>
          <w:szCs w:val="20"/>
        </w:rPr>
        <w:t>13</w:t>
      </w:r>
    </w:p>
    <w:p w:rsidR="00E53C95" w:rsidRPr="005F5539" w:rsidRDefault="00E53C95" w:rsidP="005017CF">
      <w:pPr>
        <w:ind w:left="2124" w:hanging="2124"/>
        <w:rPr>
          <w:rFonts w:cs="Times New Roman"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Příloha:</w:t>
      </w:r>
      <w:r w:rsidR="00ED2385" w:rsidRPr="005F5539">
        <w:rPr>
          <w:rFonts w:cs="Times New Roman"/>
          <w:b/>
          <w:sz w:val="20"/>
          <w:szCs w:val="20"/>
        </w:rPr>
        <w:tab/>
      </w:r>
      <w:r w:rsidRPr="005F5539">
        <w:rPr>
          <w:rFonts w:cs="Times New Roman"/>
          <w:sz w:val="20"/>
          <w:szCs w:val="20"/>
        </w:rPr>
        <w:t>listina s podpisy účastníků KD</w:t>
      </w:r>
    </w:p>
    <w:p w:rsidR="00E53C95" w:rsidRPr="005F5539" w:rsidRDefault="00F24FD6" w:rsidP="00A4185F">
      <w:pPr>
        <w:ind w:left="708" w:hanging="708"/>
        <w:rPr>
          <w:rFonts w:cs="Times New Roman"/>
          <w:b/>
          <w:sz w:val="20"/>
          <w:szCs w:val="20"/>
        </w:rPr>
      </w:pPr>
      <w:r w:rsidRPr="005F5539">
        <w:rPr>
          <w:rFonts w:cs="Times New Roman"/>
          <w:b/>
          <w:sz w:val="20"/>
          <w:szCs w:val="20"/>
        </w:rPr>
        <w:t>Prezenční listina</w:t>
      </w:r>
      <w:r w:rsidR="00E53C95" w:rsidRPr="005F5539">
        <w:rPr>
          <w:rFonts w:cs="Times New Roman"/>
          <w:b/>
          <w:sz w:val="20"/>
          <w:szCs w:val="20"/>
        </w:rPr>
        <w:t>:</w:t>
      </w:r>
    </w:p>
    <w:tbl>
      <w:tblPr>
        <w:tblStyle w:val="Mkatabulky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3685"/>
        <w:gridCol w:w="851"/>
        <w:gridCol w:w="1134"/>
      </w:tblGrid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685" w:type="dxa"/>
            <w:vAlign w:val="center"/>
          </w:tcPr>
          <w:p w:rsidR="00E53C95" w:rsidRPr="00F24FD6" w:rsidRDefault="00E53C95" w:rsidP="00A4185F">
            <w:pPr>
              <w:rPr>
                <w:sz w:val="20"/>
                <w:szCs w:val="20"/>
              </w:rPr>
            </w:pPr>
            <w:r w:rsidRPr="00F24FD6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E53C95" w:rsidRPr="00E53C95" w:rsidRDefault="00E53C95" w:rsidP="00A4185F">
            <w:pPr>
              <w:rPr>
                <w:b/>
                <w:sz w:val="20"/>
                <w:szCs w:val="20"/>
              </w:rPr>
            </w:pPr>
            <w:r w:rsidRPr="00E53C95">
              <w:rPr>
                <w:b/>
                <w:sz w:val="20"/>
                <w:szCs w:val="20"/>
              </w:rPr>
              <w:t>Přítomen/</w:t>
            </w:r>
            <w:r w:rsidR="004D1AEF">
              <w:rPr>
                <w:b/>
                <w:sz w:val="20"/>
                <w:szCs w:val="20"/>
              </w:rPr>
              <w:t xml:space="preserve"> </w:t>
            </w:r>
            <w:r w:rsidRPr="00E53C95">
              <w:rPr>
                <w:b/>
                <w:sz w:val="20"/>
                <w:szCs w:val="20"/>
              </w:rPr>
              <w:t>podpis</w:t>
            </w:r>
            <w:r w:rsidR="004D1AEF">
              <w:rPr>
                <w:b/>
                <w:sz w:val="20"/>
                <w:szCs w:val="20"/>
              </w:rPr>
              <w:t xml:space="preserve"> viz příloha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E53C95" w:rsidRPr="005F5539" w:rsidRDefault="00BD6C0A" w:rsidP="00BD6C0A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Národní památkový ústav územní odborné pracoviště v Č. Budějovicích</w:t>
            </w:r>
            <w:r w:rsidR="00964975" w:rsidRPr="005F5539">
              <w:rPr>
                <w:sz w:val="19"/>
                <w:szCs w:val="19"/>
              </w:rPr>
              <w:t>,</w:t>
            </w:r>
            <w:r w:rsidRPr="005F5539">
              <w:rPr>
                <w:sz w:val="19"/>
                <w:szCs w:val="19"/>
              </w:rPr>
              <w:t xml:space="preserve"> vedoucí oddělení garantů území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E81D56" w:rsidRPr="005F5539">
              <w:rPr>
                <w:sz w:val="19"/>
                <w:szCs w:val="19"/>
              </w:rPr>
              <w:t>724 96</w:t>
            </w:r>
            <w:r w:rsidR="00BD6C0A" w:rsidRPr="005F5539">
              <w:rPr>
                <w:sz w:val="19"/>
                <w:szCs w:val="19"/>
              </w:rPr>
              <w:t>5 363, thimova.danuse@npu.cz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6417BF" w:rsidP="00A4185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E53C95" w:rsidRPr="005F5539" w:rsidRDefault="00964975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BD6C0A" w:rsidRPr="005F5539">
              <w:rPr>
                <w:sz w:val="19"/>
                <w:szCs w:val="19"/>
              </w:rPr>
              <w:t>Referát monitoringu památek UNESCO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BD6C0A" w:rsidRPr="005F5539">
              <w:rPr>
                <w:sz w:val="19"/>
                <w:szCs w:val="19"/>
              </w:rPr>
              <w:t>602 627 440, spinarova.michaela@npu</w:t>
            </w:r>
            <w:r w:rsidR="002B40C1" w:rsidRPr="005F5539"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9E7EF0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E53C95" w:rsidRPr="005F5539" w:rsidRDefault="00964975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BD6C0A" w:rsidRPr="005F5539">
              <w:rPr>
                <w:sz w:val="19"/>
                <w:szCs w:val="19"/>
              </w:rPr>
              <w:t>Oddělení specialistů</w:t>
            </w:r>
          </w:p>
        </w:tc>
        <w:tc>
          <w:tcPr>
            <w:tcW w:w="3685" w:type="dxa"/>
            <w:vAlign w:val="center"/>
          </w:tcPr>
          <w:p w:rsidR="00E53C95" w:rsidRPr="005F5539" w:rsidRDefault="005D6999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BD6C0A" w:rsidRPr="005F5539">
              <w:rPr>
                <w:sz w:val="19"/>
                <w:szCs w:val="19"/>
              </w:rPr>
              <w:t>724 054 738, bloch.jiri@npu.cz</w:t>
            </w:r>
          </w:p>
        </w:tc>
        <w:tc>
          <w:tcPr>
            <w:tcW w:w="851" w:type="dxa"/>
            <w:vAlign w:val="center"/>
          </w:tcPr>
          <w:p w:rsidR="00E53C95" w:rsidRPr="005F5539" w:rsidRDefault="00BD6C0A" w:rsidP="00A4185F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E53C95" w:rsidRPr="005F5539" w:rsidRDefault="00543B0F" w:rsidP="0000402D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5D6999" w:rsidTr="00A965F5">
        <w:trPr>
          <w:trHeight w:val="394"/>
        </w:trPr>
        <w:tc>
          <w:tcPr>
            <w:tcW w:w="1702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6F1DD5" w:rsidRPr="005F5539" w:rsidRDefault="0096497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6F1DD5" w:rsidRPr="005F5539">
              <w:rPr>
                <w:sz w:val="19"/>
                <w:szCs w:val="19"/>
              </w:rPr>
              <w:t>Referát monitoringu památek UNESCO</w:t>
            </w:r>
          </w:p>
        </w:tc>
        <w:tc>
          <w:tcPr>
            <w:tcW w:w="3685" w:type="dxa"/>
            <w:vAlign w:val="center"/>
          </w:tcPr>
          <w:p w:rsidR="006F1DD5" w:rsidRPr="005F5539" w:rsidRDefault="005D699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6F1DD5" w:rsidRPr="005F5539">
              <w:rPr>
                <w:sz w:val="19"/>
                <w:szCs w:val="19"/>
              </w:rPr>
              <w:t>724 053 332, snejd.daniel@npu.cz</w:t>
            </w:r>
          </w:p>
        </w:tc>
        <w:tc>
          <w:tcPr>
            <w:tcW w:w="851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5D6999" w:rsidTr="00A965F5">
        <w:trPr>
          <w:trHeight w:val="371"/>
        </w:trPr>
        <w:tc>
          <w:tcPr>
            <w:tcW w:w="1702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6F1DD5" w:rsidRPr="005F5539" w:rsidRDefault="0096497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NPÚ ÚOP, Č. Budějovice, </w:t>
            </w:r>
            <w:r w:rsidR="006F1DD5" w:rsidRPr="005F5539">
              <w:rPr>
                <w:sz w:val="19"/>
                <w:szCs w:val="19"/>
              </w:rPr>
              <w:t>Oddělení památkových průzkumů</w:t>
            </w:r>
          </w:p>
        </w:tc>
        <w:tc>
          <w:tcPr>
            <w:tcW w:w="3685" w:type="dxa"/>
            <w:vAlign w:val="center"/>
          </w:tcPr>
          <w:p w:rsidR="006F1DD5" w:rsidRPr="005F5539" w:rsidRDefault="005D699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</w:t>
            </w:r>
            <w:r w:rsidR="006F1DD5" w:rsidRPr="005F5539">
              <w:rPr>
                <w:sz w:val="19"/>
                <w:szCs w:val="19"/>
              </w:rPr>
              <w:t>776 646 800, princ.marek@npu.cz</w:t>
            </w:r>
          </w:p>
        </w:tc>
        <w:tc>
          <w:tcPr>
            <w:tcW w:w="851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6F1DD5" w:rsidRPr="005F5539" w:rsidRDefault="006F1DD5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395FFA" w:rsidTr="00A965F5">
        <w:trPr>
          <w:trHeight w:val="371"/>
        </w:trPr>
        <w:tc>
          <w:tcPr>
            <w:tcW w:w="1702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 Olšanová</w:t>
            </w:r>
          </w:p>
        </w:tc>
        <w:tc>
          <w:tcPr>
            <w:tcW w:w="2268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ÚOP Č. Budějovice, Oddělení specialistů </w:t>
            </w:r>
          </w:p>
        </w:tc>
        <w:tc>
          <w:tcPr>
            <w:tcW w:w="3685" w:type="dxa"/>
            <w:vAlign w:val="center"/>
          </w:tcPr>
          <w:tbl>
            <w:tblPr>
              <w:tblW w:w="9255" w:type="dxa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3780"/>
              <w:gridCol w:w="5475"/>
            </w:tblGrid>
            <w:tr w:rsidR="00395FFA" w:rsidRPr="005F5539" w:rsidTr="00395FFA">
              <w:trPr>
                <w:tblCellSpacing w:w="15" w:type="dxa"/>
              </w:trPr>
              <w:tc>
                <w:tcPr>
                  <w:tcW w:w="152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5FFA" w:rsidRPr="005F5539" w:rsidRDefault="00395FFA" w:rsidP="00395FFA">
                  <w:pPr>
                    <w:rPr>
                      <w:sz w:val="19"/>
                      <w:szCs w:val="19"/>
                    </w:rPr>
                  </w:pPr>
                  <w:r w:rsidRPr="005F5539">
                    <w:rPr>
                      <w:sz w:val="19"/>
                      <w:szCs w:val="19"/>
                    </w:rPr>
                    <w:t>+420 725 314 206, olsanova.eva</w:t>
                  </w:r>
                  <w:r w:rsidRPr="005F5539">
                    <w:rPr>
                      <w:noProof/>
                      <w:sz w:val="19"/>
                      <w:szCs w:val="19"/>
                      <w:lang w:eastAsia="cs-CZ"/>
                    </w:rPr>
                    <w:t>@</w:t>
                  </w:r>
                  <w:r w:rsidRPr="005F5539">
                    <w:rPr>
                      <w:sz w:val="19"/>
                      <w:szCs w:val="19"/>
                    </w:rPr>
                    <w:t>npu.cz</w:t>
                  </w:r>
                </w:p>
              </w:tc>
              <w:tc>
                <w:tcPr>
                  <w:tcW w:w="222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95FFA" w:rsidRPr="005F5539" w:rsidRDefault="00395FFA" w:rsidP="00395FFA">
                  <w:pPr>
                    <w:rPr>
                      <w:sz w:val="19"/>
                      <w:szCs w:val="19"/>
                    </w:rPr>
                  </w:pPr>
                  <w:r w:rsidRPr="005F5539">
                    <w:rPr>
                      <w:sz w:val="19"/>
                      <w:szCs w:val="19"/>
                    </w:rPr>
                    <w:t>   olsanova.evanpu.cz</w:t>
                  </w:r>
                </w:p>
              </w:tc>
            </w:tr>
          </w:tbl>
          <w:p w:rsidR="00395FFA" w:rsidRPr="005F5539" w:rsidRDefault="00395FFA" w:rsidP="006F1DD5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95FFA" w:rsidRPr="005F5539" w:rsidRDefault="008C2813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395FFA" w:rsidTr="00A965F5">
        <w:trPr>
          <w:trHeight w:val="371"/>
        </w:trPr>
        <w:tc>
          <w:tcPr>
            <w:tcW w:w="1702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Jiří Olšan</w:t>
            </w:r>
          </w:p>
        </w:tc>
        <w:tc>
          <w:tcPr>
            <w:tcW w:w="2268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 ÚPS Č. Budějovice, </w:t>
            </w:r>
            <w:r w:rsidRPr="005F5539">
              <w:rPr>
                <w:bCs/>
                <w:sz w:val="19"/>
                <w:szCs w:val="19"/>
              </w:rPr>
              <w:t xml:space="preserve">Správa SHZ Č. Krumlov, </w:t>
            </w:r>
            <w:r w:rsidRPr="005F5539">
              <w:rPr>
                <w:sz w:val="19"/>
                <w:szCs w:val="19"/>
              </w:rPr>
              <w:t>zahradní architekt</w:t>
            </w:r>
          </w:p>
        </w:tc>
        <w:tc>
          <w:tcPr>
            <w:tcW w:w="3685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+420 720 417 895, olsan.jiri@npu.cz</w:t>
            </w:r>
          </w:p>
        </w:tc>
        <w:tc>
          <w:tcPr>
            <w:tcW w:w="851" w:type="dxa"/>
            <w:vAlign w:val="center"/>
          </w:tcPr>
          <w:p w:rsidR="00395FFA" w:rsidRPr="005F5539" w:rsidRDefault="00395FFA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NPÚ</w:t>
            </w:r>
          </w:p>
        </w:tc>
        <w:tc>
          <w:tcPr>
            <w:tcW w:w="1134" w:type="dxa"/>
            <w:vAlign w:val="center"/>
          </w:tcPr>
          <w:p w:rsidR="00395FFA" w:rsidRPr="005F5539" w:rsidRDefault="008C2813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8768EE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Tomáš Šantavý</w:t>
            </w:r>
          </w:p>
        </w:tc>
        <w:tc>
          <w:tcPr>
            <w:tcW w:w="2268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685" w:type="dxa"/>
            <w:vAlign w:val="center"/>
          </w:tcPr>
          <w:p w:rsidR="0073349C" w:rsidRPr="005F5539" w:rsidRDefault="00A84FFD" w:rsidP="0073349C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+420 603 501 810, </w:t>
            </w:r>
            <w:r w:rsidR="0073349C" w:rsidRPr="005F5539">
              <w:rPr>
                <w:sz w:val="19"/>
                <w:szCs w:val="19"/>
              </w:rPr>
              <w:t>tomas.santavy@atelierts.cz</w:t>
            </w:r>
          </w:p>
        </w:tc>
        <w:tc>
          <w:tcPr>
            <w:tcW w:w="851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8768EE" w:rsidRPr="005F5539" w:rsidRDefault="008C2813" w:rsidP="00E40011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5F5539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Hana Šantavá</w:t>
            </w:r>
          </w:p>
        </w:tc>
        <w:tc>
          <w:tcPr>
            <w:tcW w:w="2268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Projektový ateliér pro APS, zástupce GP</w:t>
            </w:r>
          </w:p>
        </w:tc>
        <w:tc>
          <w:tcPr>
            <w:tcW w:w="3685" w:type="dxa"/>
            <w:vAlign w:val="center"/>
          </w:tcPr>
          <w:p w:rsidR="008768EE" w:rsidRPr="005F5539" w:rsidRDefault="00A84FFD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+420 734 655</w:t>
            </w:r>
            <w:r w:rsidR="009E7EF0" w:rsidRPr="005F5539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324</w:t>
            </w:r>
            <w:r w:rsidR="009E7EF0" w:rsidRPr="005F5539">
              <w:rPr>
                <w:sz w:val="19"/>
                <w:szCs w:val="19"/>
              </w:rPr>
              <w:t>,</w:t>
            </w:r>
          </w:p>
        </w:tc>
        <w:tc>
          <w:tcPr>
            <w:tcW w:w="851" w:type="dxa"/>
            <w:vAlign w:val="center"/>
          </w:tcPr>
          <w:p w:rsidR="008768EE" w:rsidRPr="005F5539" w:rsidRDefault="0073349C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GP</w:t>
            </w:r>
          </w:p>
        </w:tc>
        <w:tc>
          <w:tcPr>
            <w:tcW w:w="1134" w:type="dxa"/>
            <w:vAlign w:val="center"/>
          </w:tcPr>
          <w:p w:rsidR="008768EE" w:rsidRPr="005F5539" w:rsidRDefault="00EB0F06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8768EE" w:rsidTr="00A965F5">
        <w:trPr>
          <w:trHeight w:val="371"/>
        </w:trPr>
        <w:tc>
          <w:tcPr>
            <w:tcW w:w="1702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 Kabátová</w:t>
            </w:r>
          </w:p>
        </w:tc>
        <w:tc>
          <w:tcPr>
            <w:tcW w:w="2268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685" w:type="dxa"/>
            <w:vAlign w:val="center"/>
          </w:tcPr>
          <w:p w:rsidR="00395FFA" w:rsidRPr="005F5539" w:rsidRDefault="00395FFA" w:rsidP="00395FFA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+420 725 854 427,</w:t>
            </w:r>
          </w:p>
          <w:p w:rsidR="008768EE" w:rsidRPr="005F5539" w:rsidRDefault="00395FFA" w:rsidP="00084C4B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eva.kabatova@</w:t>
            </w:r>
            <w:r w:rsidR="00084C4B" w:rsidRPr="005F5539">
              <w:rPr>
                <w:sz w:val="19"/>
                <w:szCs w:val="19"/>
              </w:rPr>
              <w:t>volny.cz</w:t>
            </w:r>
          </w:p>
        </w:tc>
        <w:tc>
          <w:tcPr>
            <w:tcW w:w="851" w:type="dxa"/>
            <w:vAlign w:val="center"/>
          </w:tcPr>
          <w:p w:rsidR="008768EE" w:rsidRPr="005F5539" w:rsidRDefault="009E7EF0" w:rsidP="006F1DD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8768EE" w:rsidRPr="005F5539" w:rsidRDefault="007E6FFC" w:rsidP="006F1DD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Eduard Převorovský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Rytířský řád Křižovníků s červenou hvězdou</w:t>
            </w:r>
          </w:p>
        </w:tc>
        <w:tc>
          <w:tcPr>
            <w:tcW w:w="3685" w:type="dxa"/>
            <w:vAlign w:val="center"/>
          </w:tcPr>
          <w:p w:rsidR="00084C4B" w:rsidRPr="005F5539" w:rsidRDefault="00084C4B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+420 725 836 111</w:t>
            </w:r>
          </w:p>
          <w:p w:rsidR="009E7EF0" w:rsidRPr="005F5539" w:rsidRDefault="00084C4B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eduard.prevorovsky@seznam.cz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RŘK</w:t>
            </w:r>
          </w:p>
        </w:tc>
        <w:tc>
          <w:tcPr>
            <w:tcW w:w="1134" w:type="dxa"/>
            <w:vAlign w:val="center"/>
          </w:tcPr>
          <w:p w:rsidR="009E7EF0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Jan Kandlík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s.r.o., manažer projektu, prokurista</w:t>
            </w:r>
          </w:p>
        </w:tc>
        <w:tc>
          <w:tcPr>
            <w:tcW w:w="3685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+602 105 700, jan.ka</w:t>
            </w:r>
            <w:r w:rsidR="00125BF0" w:rsidRPr="005F5539">
              <w:rPr>
                <w:sz w:val="19"/>
                <w:szCs w:val="19"/>
              </w:rPr>
              <w:t>n</w:t>
            </w:r>
            <w:r w:rsidRPr="005F5539">
              <w:rPr>
                <w:sz w:val="19"/>
                <w:szCs w:val="19"/>
              </w:rPr>
              <w:t>dlik@vidox.cz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8C2813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Antonín Vychopeň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084C4B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s.r.o, stavební mistr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+420 602 204 159, antonin.vychopen@vidox.cz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Josef Záleský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Vidox s.r.o., příprava a realizace staveb</w:t>
            </w:r>
          </w:p>
        </w:tc>
        <w:tc>
          <w:tcPr>
            <w:tcW w:w="3685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+420 728 645 791, josef.zalesky</w:t>
            </w:r>
            <w:r w:rsidR="009E7EF0" w:rsidRPr="005F5539">
              <w:rPr>
                <w:sz w:val="19"/>
                <w:szCs w:val="19"/>
              </w:rPr>
              <w:t>@vidox.cz</w:t>
            </w:r>
          </w:p>
        </w:tc>
        <w:tc>
          <w:tcPr>
            <w:tcW w:w="851" w:type="dxa"/>
            <w:vAlign w:val="center"/>
          </w:tcPr>
          <w:p w:rsidR="009E7EF0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VID</w:t>
            </w:r>
          </w:p>
        </w:tc>
        <w:tc>
          <w:tcPr>
            <w:tcW w:w="1134" w:type="dxa"/>
            <w:vAlign w:val="center"/>
          </w:tcPr>
          <w:p w:rsidR="009E7EF0" w:rsidRPr="005F5539" w:rsidRDefault="00EB0F06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lastRenderedPageBreak/>
              <w:t>Martin Zedníček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 ředitel společnosti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+420 724 651 602, m.zednicek@archatt-pamatky.cz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Ondřej Vrba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o.vrba@archatt-pamatky.cz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8C2813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E40011" w:rsidTr="00A965F5">
        <w:trPr>
          <w:trHeight w:val="371"/>
        </w:trPr>
        <w:tc>
          <w:tcPr>
            <w:tcW w:w="1702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František Joura</w:t>
            </w:r>
          </w:p>
        </w:tc>
        <w:tc>
          <w:tcPr>
            <w:tcW w:w="2268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E40011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E40011" w:rsidRPr="005F5539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Jan Šalomoun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+420 724 651 603, j.salomoun@archatt-pamatky.cz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6A7A44" w:rsidTr="00A965F5">
        <w:trPr>
          <w:trHeight w:val="394"/>
        </w:trPr>
        <w:tc>
          <w:tcPr>
            <w:tcW w:w="1702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Sochna</w:t>
            </w:r>
          </w:p>
        </w:tc>
        <w:tc>
          <w:tcPr>
            <w:tcW w:w="2268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Archatt s.r.o,</w:t>
            </w:r>
          </w:p>
        </w:tc>
        <w:tc>
          <w:tcPr>
            <w:tcW w:w="3685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p.sochna@archatt-pamatky.cz</w:t>
            </w:r>
          </w:p>
        </w:tc>
        <w:tc>
          <w:tcPr>
            <w:tcW w:w="851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ARCH</w:t>
            </w:r>
          </w:p>
        </w:tc>
        <w:tc>
          <w:tcPr>
            <w:tcW w:w="1134" w:type="dxa"/>
            <w:vAlign w:val="center"/>
          </w:tcPr>
          <w:p w:rsidR="006A7A44" w:rsidRPr="005F5539" w:rsidRDefault="005F5539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00402D" w:rsidTr="00A965F5">
        <w:trPr>
          <w:trHeight w:val="394"/>
        </w:trPr>
        <w:tc>
          <w:tcPr>
            <w:tcW w:w="1702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Pavel Beneš</w:t>
            </w:r>
          </w:p>
        </w:tc>
        <w:tc>
          <w:tcPr>
            <w:tcW w:w="2268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Elben CB</w:t>
            </w:r>
          </w:p>
        </w:tc>
        <w:tc>
          <w:tcPr>
            <w:tcW w:w="3685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benes@elbencb.cz</w:t>
            </w:r>
          </w:p>
        </w:tc>
        <w:tc>
          <w:tcPr>
            <w:tcW w:w="851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00402D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00402D" w:rsidTr="00A965F5">
        <w:trPr>
          <w:trHeight w:val="394"/>
        </w:trPr>
        <w:tc>
          <w:tcPr>
            <w:tcW w:w="1702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Filip Baštýř</w:t>
            </w:r>
          </w:p>
        </w:tc>
        <w:tc>
          <w:tcPr>
            <w:tcW w:w="2268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Elben CB</w:t>
            </w:r>
          </w:p>
        </w:tc>
        <w:tc>
          <w:tcPr>
            <w:tcW w:w="3685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bastyr@elbencb.cz</w:t>
            </w:r>
          </w:p>
        </w:tc>
        <w:tc>
          <w:tcPr>
            <w:tcW w:w="851" w:type="dxa"/>
            <w:vAlign w:val="center"/>
          </w:tcPr>
          <w:p w:rsidR="0000402D" w:rsidRPr="005F5539" w:rsidRDefault="0000402D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EI</w:t>
            </w:r>
          </w:p>
        </w:tc>
        <w:tc>
          <w:tcPr>
            <w:tcW w:w="1134" w:type="dxa"/>
            <w:vAlign w:val="center"/>
          </w:tcPr>
          <w:p w:rsidR="0000402D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40011" w:rsidTr="00A965F5">
        <w:trPr>
          <w:trHeight w:val="394"/>
        </w:trPr>
        <w:tc>
          <w:tcPr>
            <w:tcW w:w="1702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E40011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E40011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43B0F" w:rsidTr="00A965F5">
        <w:trPr>
          <w:trHeight w:val="394"/>
        </w:trPr>
        <w:tc>
          <w:tcPr>
            <w:tcW w:w="1702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Miroslav Kopecký</w:t>
            </w:r>
          </w:p>
        </w:tc>
        <w:tc>
          <w:tcPr>
            <w:tcW w:w="2268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685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vAlign w:val="center"/>
          </w:tcPr>
          <w:p w:rsidR="00543B0F" w:rsidRDefault="00543B0F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43B0F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71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Vratislav Jerhot</w:t>
            </w:r>
          </w:p>
        </w:tc>
        <w:tc>
          <w:tcPr>
            <w:tcW w:w="2268" w:type="dxa"/>
            <w:vAlign w:val="center"/>
          </w:tcPr>
          <w:p w:rsidR="009E7EF0" w:rsidRPr="005F5539" w:rsidRDefault="00543B0F" w:rsidP="00543B0F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SUPŠ Sv. Anežky</w:t>
            </w:r>
          </w:p>
        </w:tc>
        <w:tc>
          <w:tcPr>
            <w:tcW w:w="3685" w:type="dxa"/>
            <w:vAlign w:val="center"/>
          </w:tcPr>
          <w:p w:rsidR="009E7EF0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+420 608 678 411, </w:t>
            </w:r>
            <w:r w:rsidR="0073349C" w:rsidRPr="005F5539">
              <w:rPr>
                <w:sz w:val="19"/>
                <w:szCs w:val="19"/>
              </w:rPr>
              <w:t>vrata.jerhot@supsck.cz</w:t>
            </w:r>
          </w:p>
        </w:tc>
        <w:tc>
          <w:tcPr>
            <w:tcW w:w="851" w:type="dxa"/>
            <w:vAlign w:val="center"/>
          </w:tcPr>
          <w:p w:rsidR="009E7EF0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SUPŠ</w:t>
            </w:r>
          </w:p>
        </w:tc>
        <w:tc>
          <w:tcPr>
            <w:tcW w:w="1134" w:type="dxa"/>
            <w:vAlign w:val="center"/>
          </w:tcPr>
          <w:p w:rsidR="009E7EF0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tajemník MěÚ, koordinátor projektu IOP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+420 777 478 470, radim.rouce@mu.ckrumlov.cz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7E6FFC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odd</w:t>
            </w:r>
            <w:r w:rsidR="00ED2385" w:rsidRPr="005F5539">
              <w:rPr>
                <w:sz w:val="19"/>
                <w:szCs w:val="19"/>
              </w:rPr>
              <w:t>.</w:t>
            </w:r>
            <w:r w:rsidRPr="005F5539">
              <w:rPr>
                <w:sz w:val="19"/>
                <w:szCs w:val="19"/>
              </w:rPr>
              <w:t xml:space="preserve"> památkové péče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+420 724 095 296, petr.papousek@mu.ckrumlov.cz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6A66EF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6A66EF" w:rsidTr="00A965F5">
        <w:trPr>
          <w:trHeight w:val="394"/>
        </w:trPr>
        <w:tc>
          <w:tcPr>
            <w:tcW w:w="1702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Dagmar Pešková</w:t>
            </w:r>
          </w:p>
        </w:tc>
        <w:tc>
          <w:tcPr>
            <w:tcW w:w="2268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památkové péče</w:t>
            </w:r>
          </w:p>
        </w:tc>
        <w:tc>
          <w:tcPr>
            <w:tcW w:w="3685" w:type="dxa"/>
            <w:vAlign w:val="center"/>
          </w:tcPr>
          <w:p w:rsidR="006A66EF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+420 380 766 716 </w:t>
            </w:r>
            <w:r w:rsidR="0073349C" w:rsidRPr="005F5539">
              <w:rPr>
                <w:sz w:val="19"/>
                <w:szCs w:val="19"/>
              </w:rPr>
              <w:t>dagmar.peskova@mu.ckrumlov.cz</w:t>
            </w:r>
          </w:p>
        </w:tc>
        <w:tc>
          <w:tcPr>
            <w:tcW w:w="851" w:type="dxa"/>
            <w:vAlign w:val="center"/>
          </w:tcPr>
          <w:p w:rsidR="006A66EF" w:rsidRPr="005F5539" w:rsidRDefault="0073349C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6A66EF" w:rsidRPr="005F5539" w:rsidRDefault="00A965F5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vedoucí odboru správy majetku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</w:t>
            </w:r>
            <w:r w:rsidR="00ED2385" w:rsidRPr="005F5539">
              <w:rPr>
                <w:sz w:val="19"/>
                <w:szCs w:val="19"/>
              </w:rPr>
              <w:t> </w:t>
            </w:r>
            <w:r w:rsidRPr="005F5539">
              <w:rPr>
                <w:sz w:val="19"/>
                <w:szCs w:val="19"/>
              </w:rPr>
              <w:t>602</w:t>
            </w:r>
            <w:r w:rsidR="00ED2385" w:rsidRPr="005F5539">
              <w:rPr>
                <w:sz w:val="19"/>
                <w:szCs w:val="19"/>
              </w:rPr>
              <w:t xml:space="preserve"> </w:t>
            </w:r>
            <w:r w:rsidRPr="005F5539">
              <w:rPr>
                <w:sz w:val="19"/>
                <w:szCs w:val="19"/>
              </w:rPr>
              <w:t>703 907, dagmar.balcarova@mu.ckrumlov.cz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640AA6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ED2385" w:rsidTr="00A965F5">
        <w:trPr>
          <w:trHeight w:val="394"/>
        </w:trPr>
        <w:tc>
          <w:tcPr>
            <w:tcW w:w="1702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Ivana Velíšková</w:t>
            </w:r>
          </w:p>
        </w:tc>
        <w:tc>
          <w:tcPr>
            <w:tcW w:w="2268" w:type="dxa"/>
            <w:vAlign w:val="center"/>
          </w:tcPr>
          <w:p w:rsidR="00ED2385" w:rsidRPr="005F5539" w:rsidRDefault="00ED2385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odbor SM</w:t>
            </w:r>
          </w:p>
        </w:tc>
        <w:tc>
          <w:tcPr>
            <w:tcW w:w="3685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color w:val="000000"/>
                <w:sz w:val="19"/>
                <w:szCs w:val="19"/>
              </w:rPr>
              <w:t>+420 380 766 604, </w:t>
            </w:r>
            <w:r w:rsidRPr="005F5539">
              <w:rPr>
                <w:sz w:val="19"/>
                <w:szCs w:val="19"/>
              </w:rPr>
              <w:t xml:space="preserve"> </w:t>
            </w:r>
          </w:p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ivana.veliskova@mu.ckrumlov.cz</w:t>
            </w:r>
          </w:p>
        </w:tc>
        <w:tc>
          <w:tcPr>
            <w:tcW w:w="851" w:type="dxa"/>
            <w:vAlign w:val="center"/>
          </w:tcPr>
          <w:p w:rsidR="00ED2385" w:rsidRPr="005F5539" w:rsidRDefault="00ED2385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ED2385" w:rsidRPr="005F5539" w:rsidRDefault="008C2813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0C66A2" w:rsidTr="00A965F5">
        <w:trPr>
          <w:trHeight w:val="394"/>
        </w:trPr>
        <w:tc>
          <w:tcPr>
            <w:tcW w:w="1702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Pavel Božoň</w:t>
            </w:r>
          </w:p>
        </w:tc>
        <w:tc>
          <w:tcPr>
            <w:tcW w:w="2268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správce areálu</w:t>
            </w:r>
          </w:p>
        </w:tc>
        <w:tc>
          <w:tcPr>
            <w:tcW w:w="3685" w:type="dxa"/>
            <w:vAlign w:val="center"/>
          </w:tcPr>
          <w:p w:rsidR="000C66A2" w:rsidRPr="005F5539" w:rsidRDefault="00F5182D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+420 778 481 609</w:t>
            </w:r>
          </w:p>
        </w:tc>
        <w:tc>
          <w:tcPr>
            <w:tcW w:w="851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0C66A2" w:rsidRPr="005F5539" w:rsidRDefault="000C66A2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ED238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 xml:space="preserve">Městský úřad Český Krumlov, vedoucí </w:t>
            </w:r>
            <w:r w:rsidR="00ED2385" w:rsidRPr="005F5539">
              <w:rPr>
                <w:sz w:val="19"/>
                <w:szCs w:val="19"/>
              </w:rPr>
              <w:t>OI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+420 773 743 947, petr.pesek@mu.ckrumlov.cz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koordinátorka BOZP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+420 602 499 360, vaclava.benesova@volny.cz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E40011" w:rsidP="009E7EF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9E7EF0" w:rsidTr="00A965F5">
        <w:trPr>
          <w:trHeight w:val="394"/>
        </w:trPr>
        <w:tc>
          <w:tcPr>
            <w:tcW w:w="1702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technický manažer, TDO</w:t>
            </w:r>
          </w:p>
        </w:tc>
        <w:tc>
          <w:tcPr>
            <w:tcW w:w="3685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+420 773 748 571, tomas.podany@mu.ckrumlov.cz</w:t>
            </w:r>
          </w:p>
        </w:tc>
        <w:tc>
          <w:tcPr>
            <w:tcW w:w="851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9E7EF0" w:rsidRPr="005F5539" w:rsidRDefault="009E7EF0" w:rsidP="009E7EF0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  <w:tr w:rsidR="00A965F5" w:rsidTr="00A965F5">
        <w:trPr>
          <w:trHeight w:val="394"/>
        </w:trPr>
        <w:tc>
          <w:tcPr>
            <w:tcW w:w="1702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685" w:type="dxa"/>
            <w:vAlign w:val="center"/>
          </w:tcPr>
          <w:p w:rsidR="00A965F5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8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A965F5" w:rsidRPr="00766A13" w:rsidRDefault="00A965F5" w:rsidP="00A965F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ano</w:t>
            </w:r>
          </w:p>
        </w:tc>
      </w:tr>
      <w:tr w:rsidR="00A965F5" w:rsidTr="00A965F5">
        <w:trPr>
          <w:trHeight w:val="394"/>
        </w:trPr>
        <w:tc>
          <w:tcPr>
            <w:tcW w:w="1702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685" w:type="dxa"/>
            <w:vAlign w:val="center"/>
          </w:tcPr>
          <w:p w:rsidR="00A965F5" w:rsidRPr="00F42D53" w:rsidRDefault="00A965F5" w:rsidP="00A965F5">
            <w:pPr>
              <w:rPr>
                <w:rFonts w:eastAsia="Times New Roman"/>
                <w:sz w:val="20"/>
                <w:szCs w:val="20"/>
                <w:lang w:eastAsia="cs-CZ"/>
              </w:rPr>
            </w:pPr>
            <w:r w:rsidRPr="00F42D5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9" w:history="1">
              <w:r w:rsidRPr="00F42D5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A965F5" w:rsidRPr="00766A13" w:rsidRDefault="00A965F5" w:rsidP="00A965F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A965F5" w:rsidRPr="00766A13" w:rsidRDefault="00A965F5" w:rsidP="00A96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A965F5" w:rsidTr="00A965F5">
        <w:trPr>
          <w:trHeight w:val="394"/>
        </w:trPr>
        <w:tc>
          <w:tcPr>
            <w:tcW w:w="1702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lastRenderedPageBreak/>
              <w:t>Kateřina Slavíková</w:t>
            </w:r>
          </w:p>
        </w:tc>
        <w:tc>
          <w:tcPr>
            <w:tcW w:w="2268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Městský úřad Český Krumlov, oddělení IOP, stavební manažer, TDO</w:t>
            </w:r>
          </w:p>
        </w:tc>
        <w:tc>
          <w:tcPr>
            <w:tcW w:w="3685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+420 602 308 852, katerina.slavikova@mu.ckrumlov.cz</w:t>
            </w:r>
          </w:p>
        </w:tc>
        <w:tc>
          <w:tcPr>
            <w:tcW w:w="851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MěÚ</w:t>
            </w:r>
          </w:p>
        </w:tc>
        <w:tc>
          <w:tcPr>
            <w:tcW w:w="1134" w:type="dxa"/>
            <w:vAlign w:val="center"/>
          </w:tcPr>
          <w:p w:rsidR="00A965F5" w:rsidRPr="005F5539" w:rsidRDefault="00A965F5" w:rsidP="00A965F5">
            <w:pPr>
              <w:rPr>
                <w:sz w:val="19"/>
                <w:szCs w:val="19"/>
              </w:rPr>
            </w:pPr>
            <w:r w:rsidRPr="005F5539">
              <w:rPr>
                <w:sz w:val="19"/>
                <w:szCs w:val="19"/>
              </w:rPr>
              <w:t>ano</w:t>
            </w:r>
          </w:p>
        </w:tc>
      </w:tr>
    </w:tbl>
    <w:p w:rsidR="00543B0F" w:rsidRDefault="00543B0F" w:rsidP="00BD0FE0">
      <w:pPr>
        <w:jc w:val="both"/>
        <w:rPr>
          <w:sz w:val="20"/>
          <w:szCs w:val="20"/>
        </w:rPr>
      </w:pPr>
    </w:p>
    <w:p w:rsidR="00E53C95" w:rsidRP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Při</w:t>
      </w:r>
      <w:r w:rsidR="00E53C95" w:rsidRPr="005F5539">
        <w:rPr>
          <w:sz w:val="20"/>
          <w:szCs w:val="20"/>
        </w:rPr>
        <w:t xml:space="preserve">pomínky k zápisu z kontrolního dne stavby zasílejte do dvou dnů od jeho distribuce na adresu </w:t>
      </w:r>
      <w:hyperlink r:id="rId10" w:history="1">
        <w:r w:rsidRPr="005F5539">
          <w:rPr>
            <w:rStyle w:val="Hypertextovodkaz"/>
            <w:sz w:val="20"/>
            <w:szCs w:val="20"/>
          </w:rPr>
          <w:t>katerina.slavikova@mu.ckrumlov.cz</w:t>
        </w:r>
      </w:hyperlink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sz w:val="20"/>
          <w:szCs w:val="20"/>
        </w:rPr>
        <w:t>Zápisy z kontrolních dnů jsou obecně závazné pro všechny zúčastněné a slouží jako závazné zadání pro jejich další činnost. Zápis z KDS je odsouhlasen a stává se přílohou zápisu do Stavebního deníku v případě, že nikdo ze zúčastněných nezaslal připomínky do dvou dnů od distribuce záznamu.</w:t>
      </w:r>
    </w:p>
    <w:p w:rsidR="005F5539" w:rsidRDefault="00BD0FE0" w:rsidP="00BD0FE0">
      <w:pPr>
        <w:jc w:val="both"/>
        <w:rPr>
          <w:sz w:val="20"/>
          <w:szCs w:val="20"/>
        </w:rPr>
      </w:pPr>
      <w:r w:rsidRPr="005F5539">
        <w:rPr>
          <w:b/>
          <w:sz w:val="20"/>
          <w:szCs w:val="20"/>
        </w:rPr>
        <w:t>Na vědomí:</w:t>
      </w:r>
      <w:r w:rsidRPr="005F5539">
        <w:rPr>
          <w:sz w:val="20"/>
          <w:szCs w:val="20"/>
        </w:rPr>
        <w:t xml:space="preserve"> všem zúčastněným dle prezenční listiny</w:t>
      </w:r>
    </w:p>
    <w:p w:rsidR="00BD0FE0" w:rsidRPr="005F5539" w:rsidRDefault="00BD0FE0" w:rsidP="00BD0FE0">
      <w:pPr>
        <w:jc w:val="both"/>
        <w:rPr>
          <w:sz w:val="20"/>
          <w:szCs w:val="20"/>
          <w:u w:val="single"/>
        </w:rPr>
      </w:pPr>
      <w:r w:rsidRPr="005F5539">
        <w:rPr>
          <w:b/>
          <w:sz w:val="20"/>
          <w:szCs w:val="20"/>
          <w:u w:val="single"/>
        </w:rPr>
        <w:t>Místo a čas příštího jednání</w:t>
      </w:r>
      <w:r w:rsidRPr="005F5539">
        <w:rPr>
          <w:sz w:val="20"/>
          <w:szCs w:val="20"/>
          <w:u w:val="single"/>
        </w:rPr>
        <w:t xml:space="preserve">: </w:t>
      </w:r>
      <w:r w:rsidR="00FD22F5" w:rsidRPr="005F5539">
        <w:rPr>
          <w:sz w:val="20"/>
          <w:szCs w:val="20"/>
          <w:u w:val="single"/>
        </w:rPr>
        <w:t>Další kontrolní den stavby proběhne v</w:t>
      </w:r>
      <w:r w:rsidR="00252849" w:rsidRPr="005F5539">
        <w:rPr>
          <w:sz w:val="20"/>
          <w:szCs w:val="20"/>
          <w:u w:val="single"/>
        </w:rPr>
        <w:t>e</w:t>
      </w:r>
      <w:r w:rsidR="00FD22F5" w:rsidRPr="005F5539">
        <w:rPr>
          <w:sz w:val="20"/>
          <w:szCs w:val="20"/>
          <w:u w:val="single"/>
        </w:rPr>
        <w:t> </w:t>
      </w:r>
      <w:r w:rsidR="00084C4B" w:rsidRPr="005F5539">
        <w:rPr>
          <w:sz w:val="20"/>
          <w:szCs w:val="20"/>
          <w:u w:val="single"/>
        </w:rPr>
        <w:t>čtvrtek d</w:t>
      </w:r>
      <w:r w:rsidR="007B419F" w:rsidRPr="005F5539">
        <w:rPr>
          <w:sz w:val="20"/>
          <w:szCs w:val="20"/>
          <w:u w:val="single"/>
        </w:rPr>
        <w:t>ne</w:t>
      </w:r>
      <w:r w:rsidR="00A965F5">
        <w:rPr>
          <w:sz w:val="20"/>
          <w:szCs w:val="20"/>
          <w:u w:val="single"/>
        </w:rPr>
        <w:t xml:space="preserve"> </w:t>
      </w:r>
      <w:r w:rsidR="008C2813">
        <w:rPr>
          <w:sz w:val="20"/>
          <w:szCs w:val="20"/>
          <w:u w:val="single"/>
        </w:rPr>
        <w:t>25</w:t>
      </w:r>
      <w:r w:rsidR="006417BF">
        <w:rPr>
          <w:sz w:val="20"/>
          <w:szCs w:val="20"/>
          <w:u w:val="single"/>
        </w:rPr>
        <w:t>.9</w:t>
      </w:r>
      <w:r w:rsidR="0000402D">
        <w:rPr>
          <w:sz w:val="20"/>
          <w:szCs w:val="20"/>
          <w:u w:val="single"/>
        </w:rPr>
        <w:t>.</w:t>
      </w:r>
      <w:r w:rsidR="00FD22F5" w:rsidRPr="005F5539">
        <w:rPr>
          <w:sz w:val="20"/>
          <w:szCs w:val="20"/>
          <w:u w:val="single"/>
        </w:rPr>
        <w:t>2014 od 9.00 hodin</w:t>
      </w:r>
    </w:p>
    <w:p w:rsidR="007C31F4" w:rsidRPr="004D1AEF" w:rsidRDefault="007C31F4" w:rsidP="00BD0FE0">
      <w:pPr>
        <w:jc w:val="both"/>
        <w:rPr>
          <w:u w:val="single"/>
        </w:rPr>
      </w:pPr>
    </w:p>
    <w:tbl>
      <w:tblPr>
        <w:tblStyle w:val="Mkatabulky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6237"/>
        <w:gridCol w:w="1134"/>
        <w:gridCol w:w="1417"/>
      </w:tblGrid>
      <w:tr w:rsidR="00BD0FE0" w:rsidTr="00C4430B">
        <w:trPr>
          <w:trHeight w:val="693"/>
          <w:jc w:val="center"/>
        </w:trPr>
        <w:tc>
          <w:tcPr>
            <w:tcW w:w="9634" w:type="dxa"/>
            <w:gridSpan w:val="4"/>
            <w:vAlign w:val="center"/>
          </w:tcPr>
          <w:p w:rsidR="00BD0FE0" w:rsidRPr="00B84F47" w:rsidRDefault="00B84F47" w:rsidP="00B84F47">
            <w:pPr>
              <w:jc w:val="center"/>
              <w:rPr>
                <w:b/>
                <w:sz w:val="28"/>
                <w:szCs w:val="28"/>
              </w:rPr>
            </w:pPr>
            <w:r w:rsidRPr="00B84F47">
              <w:rPr>
                <w:b/>
                <w:sz w:val="28"/>
                <w:szCs w:val="28"/>
              </w:rPr>
              <w:t>Projednávané body</w:t>
            </w:r>
          </w:p>
        </w:tc>
      </w:tr>
      <w:tr w:rsidR="00E600E0" w:rsidRPr="00B84F47" w:rsidTr="009A027F">
        <w:trPr>
          <w:trHeight w:val="260"/>
          <w:jc w:val="center"/>
        </w:trPr>
        <w:tc>
          <w:tcPr>
            <w:tcW w:w="846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 w:rsidRPr="00B84F47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237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34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7" w:type="dxa"/>
            <w:vAlign w:val="center"/>
          </w:tcPr>
          <w:p w:rsidR="00BD0FE0" w:rsidRPr="00B84F47" w:rsidRDefault="00B84F47" w:rsidP="00BD0FE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Termín</w:t>
            </w:r>
          </w:p>
        </w:tc>
      </w:tr>
      <w:tr w:rsidR="0079234D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79234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79234D" w:rsidRDefault="0079234D" w:rsidP="007B41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Objekt M1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79234D" w:rsidRPr="00A213AD" w:rsidRDefault="0079234D" w:rsidP="007B419F">
            <w:pPr>
              <w:jc w:val="both"/>
              <w:rPr>
                <w:sz w:val="20"/>
                <w:szCs w:val="20"/>
              </w:rPr>
            </w:pPr>
          </w:p>
        </w:tc>
      </w:tr>
      <w:tr w:rsidR="007B419F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7B419F" w:rsidRDefault="009A027F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M1.01</w:t>
            </w:r>
          </w:p>
        </w:tc>
        <w:tc>
          <w:tcPr>
            <w:tcW w:w="6237" w:type="dxa"/>
            <w:vAlign w:val="center"/>
          </w:tcPr>
          <w:p w:rsidR="003620EC" w:rsidRDefault="003620EC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7B419F" w:rsidRDefault="0079234D" w:rsidP="007B419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9234D">
              <w:rPr>
                <w:b/>
                <w:sz w:val="20"/>
                <w:szCs w:val="20"/>
                <w:u w:val="single"/>
              </w:rPr>
              <w:t>Hrázděná kce ve 2.NP místnosti č.2.06</w:t>
            </w:r>
          </w:p>
          <w:p w:rsidR="0079234D" w:rsidRDefault="0079234D" w:rsidP="001570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 provádění bouracích prací bylo zjištěno, že kce dělící místnost č.2.06 je hrázděná. Plánované ocelové profily překladu dle PD budou vloženy až pod vodorovným trámem, který je osazen pod stropem</w:t>
            </w:r>
            <w:r w:rsidR="00157034">
              <w:rPr>
                <w:sz w:val="20"/>
                <w:szCs w:val="20"/>
              </w:rPr>
              <w:t>. Po odříznutí části dřevěné kce hrázdění bude nutné provést ukotvení bočního zdiva ke zbývající části dřevěné kce. Ukotvení zdiva bude řešeno projektantem. Detail bude předložen</w:t>
            </w:r>
            <w:r w:rsidR="00157034" w:rsidRPr="0041039F">
              <w:rPr>
                <w:sz w:val="20"/>
                <w:szCs w:val="20"/>
              </w:rPr>
              <w:t xml:space="preserve"> k vydání závazného stanoviska SPP</w:t>
            </w:r>
            <w:r w:rsidR="00157034">
              <w:rPr>
                <w:sz w:val="20"/>
                <w:szCs w:val="20"/>
              </w:rPr>
              <w:t>. Stavbou bude následně předložen změnový list.</w:t>
            </w:r>
          </w:p>
          <w:p w:rsidR="003620EC" w:rsidRPr="0079234D" w:rsidRDefault="003620EC" w:rsidP="001570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B419F" w:rsidRPr="00A213AD" w:rsidRDefault="00157034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+ GP + TDO</w:t>
            </w:r>
          </w:p>
        </w:tc>
        <w:tc>
          <w:tcPr>
            <w:tcW w:w="1417" w:type="dxa"/>
            <w:vAlign w:val="center"/>
          </w:tcPr>
          <w:p w:rsidR="007B419F" w:rsidRPr="00A213AD" w:rsidRDefault="005E2A4D" w:rsidP="007B41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2E7487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2E7487" w:rsidRDefault="009A027F" w:rsidP="009A02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M1.02</w:t>
            </w:r>
          </w:p>
        </w:tc>
        <w:tc>
          <w:tcPr>
            <w:tcW w:w="6237" w:type="dxa"/>
            <w:vAlign w:val="center"/>
          </w:tcPr>
          <w:p w:rsidR="00247EB5" w:rsidRDefault="00247EB5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E7487" w:rsidRDefault="003D68DD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Členění oken rajského dvora – místnost 1.03</w:t>
            </w:r>
          </w:p>
          <w:p w:rsidR="003D68DD" w:rsidRDefault="003D68D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přeložen dopracovaný restaurátorský záměr k vydání závazného stanoviska k záměru. Záměr bude konzultován s odbornými pracovníky NPÚ.</w:t>
            </w:r>
          </w:p>
          <w:p w:rsidR="00247EB5" w:rsidRPr="003D68DD" w:rsidRDefault="00247EB5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E7487" w:rsidRDefault="003D68D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TDO</w:t>
            </w:r>
          </w:p>
        </w:tc>
        <w:tc>
          <w:tcPr>
            <w:tcW w:w="1417" w:type="dxa"/>
            <w:vAlign w:val="center"/>
          </w:tcPr>
          <w:p w:rsidR="002E7487" w:rsidRDefault="005E2A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Provedeno</w:t>
            </w:r>
            <w:r w:rsidR="00A965F5">
              <w:rPr>
                <w:sz w:val="20"/>
                <w:szCs w:val="20"/>
              </w:rPr>
              <w:t xml:space="preserve"> předložení záměru, zpracování PD v projekční fázi</w:t>
            </w:r>
          </w:p>
        </w:tc>
      </w:tr>
      <w:tr w:rsidR="00602F5B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602F5B" w:rsidRDefault="009A027F" w:rsidP="00E5701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M1.03</w:t>
            </w:r>
          </w:p>
        </w:tc>
        <w:tc>
          <w:tcPr>
            <w:tcW w:w="6237" w:type="dxa"/>
            <w:vAlign w:val="center"/>
          </w:tcPr>
          <w:p w:rsidR="00247EB5" w:rsidRDefault="00247EB5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602F5B" w:rsidRDefault="00602F5B" w:rsidP="00F606F2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Otvor do refektáře</w:t>
            </w:r>
          </w:p>
          <w:p w:rsidR="00FD7AB1" w:rsidRDefault="00FD7AB1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Projektová dokumentace bude přizpůsobena nálezu dle doporučení nálezové zprávy zpracované Ing. Danielem Šnejdem – monitoring NPÚ. Návrh bude předložen</w:t>
            </w:r>
            <w:r w:rsidRPr="0041039F">
              <w:rPr>
                <w:sz w:val="20"/>
                <w:szCs w:val="20"/>
              </w:rPr>
              <w:t xml:space="preserve"> k vydání závazného stanoviska SPP</w:t>
            </w:r>
            <w:r>
              <w:rPr>
                <w:sz w:val="20"/>
                <w:szCs w:val="20"/>
              </w:rPr>
              <w:t>. Stavbou bude provedeno ocenění a následně předložen změnový list.</w:t>
            </w:r>
          </w:p>
          <w:p w:rsidR="00247EB5" w:rsidRDefault="00247EB5" w:rsidP="00F606F2">
            <w:pPr>
              <w:jc w:val="both"/>
              <w:rPr>
                <w:sz w:val="20"/>
                <w:szCs w:val="20"/>
              </w:rPr>
            </w:pPr>
          </w:p>
          <w:p w:rsidR="00247EB5" w:rsidRPr="00A965F5" w:rsidRDefault="00247EB5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KD č.9</w:t>
            </w:r>
          </w:p>
          <w:p w:rsidR="00247EB5" w:rsidRDefault="00247EB5" w:rsidP="00F606F2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Vstup do refektáře bude reflektovat nálezovou situaci – ze strany místnosti 1.16 bude proveden záklenek navazující na záklenek nad stávajícím otvorem v části zdi do místnosti č.1.17</w:t>
            </w:r>
          </w:p>
          <w:p w:rsidR="00640AA6" w:rsidRPr="00602F5B" w:rsidRDefault="00640AA6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2F5B" w:rsidRDefault="00602F5B" w:rsidP="00F606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02F5B" w:rsidRDefault="005E2A4D" w:rsidP="00F606F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3620EC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620EC" w:rsidRDefault="009A027F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M1.04</w:t>
            </w:r>
          </w:p>
        </w:tc>
        <w:tc>
          <w:tcPr>
            <w:tcW w:w="6237" w:type="dxa"/>
            <w:vAlign w:val="center"/>
          </w:tcPr>
          <w:p w:rsidR="003620EC" w:rsidRPr="00A965F5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620EC" w:rsidRPr="00A965F5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Vnější  strana obvodové zdi místnosti č.1.23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č.9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 případnému vyjmutí profilovaných kamenů druhotně použitých ze starší stavební fáze žádá stavba vyjádření odborného pracovníka NPÚ Č. Budějovice Dr. Lavičky.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6417BF" w:rsidRDefault="003620EC" w:rsidP="003620EC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KD č.10</w:t>
            </w:r>
          </w:p>
          <w:p w:rsidR="003620EC" w:rsidRPr="006417BF" w:rsidRDefault="003620EC" w:rsidP="003620EC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Na základě doporučení Dr. Lavičky bylo rozhodnuto, že bude provedeno vyjmutí výše uvedených kamenů ze zdiva a následně bude provedena zazdívka vzniklého otvoru. Stavbou bude provedeno ocenění a následně předložen změnový list.</w:t>
            </w:r>
          </w:p>
          <w:p w:rsidR="003620EC" w:rsidRPr="00A965F5" w:rsidRDefault="003620EC" w:rsidP="003620E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 provádění prací</w:t>
            </w:r>
          </w:p>
        </w:tc>
      </w:tr>
      <w:tr w:rsidR="003620EC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620EC" w:rsidRDefault="009A027F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M1.05</w:t>
            </w:r>
          </w:p>
        </w:tc>
        <w:tc>
          <w:tcPr>
            <w:tcW w:w="6237" w:type="dxa"/>
            <w:vAlign w:val="center"/>
          </w:tcPr>
          <w:p w:rsidR="003620EC" w:rsidRPr="00640AA6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A965F5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Statické zajištění klenby nad refektářem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č.9</w:t>
            </w:r>
          </w:p>
          <w:p w:rsidR="003620EC" w:rsidRPr="00A965F5" w:rsidRDefault="003620EC" w:rsidP="003620E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Statické zabezpečení klenby bude provedeno dle upraveného návrhu předloženého statikem.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 bude předložen</w:t>
            </w:r>
            <w:r w:rsidRPr="0041039F">
              <w:rPr>
                <w:sz w:val="20"/>
                <w:szCs w:val="20"/>
              </w:rPr>
              <w:t xml:space="preserve"> k</w:t>
            </w:r>
            <w:r>
              <w:rPr>
                <w:sz w:val="20"/>
                <w:szCs w:val="20"/>
              </w:rPr>
              <w:t> </w:t>
            </w:r>
            <w:r w:rsidRPr="0041039F">
              <w:rPr>
                <w:sz w:val="20"/>
                <w:szCs w:val="20"/>
              </w:rPr>
              <w:t>vydání závazného stanoviska SPP</w:t>
            </w:r>
            <w:r>
              <w:rPr>
                <w:sz w:val="20"/>
                <w:szCs w:val="20"/>
              </w:rPr>
              <w:t>. Stavbou bude provedeno ocenění a následně předložen změnový list.</w:t>
            </w:r>
          </w:p>
          <w:p w:rsidR="003620EC" w:rsidRPr="003A257C" w:rsidRDefault="003620EC" w:rsidP="003620E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3620EC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620EC" w:rsidRDefault="009A027F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M1.06</w:t>
            </w:r>
          </w:p>
        </w:tc>
        <w:tc>
          <w:tcPr>
            <w:tcW w:w="6237" w:type="dxa"/>
            <w:vAlign w:val="center"/>
          </w:tcPr>
          <w:p w:rsidR="003620EC" w:rsidRDefault="003620EC" w:rsidP="003620EC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3620EC" w:rsidRPr="00A965F5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Nález původního okna v chodbě konventu ve 2.NP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č.9</w:t>
            </w:r>
          </w:p>
          <w:p w:rsidR="003620EC" w:rsidRPr="00A965F5" w:rsidRDefault="003620EC" w:rsidP="003620EC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Bude proveden a předložen s návrhem prezentace podrobný stavebně historický průzkum nalezeného zazděného okna u schodiště u věže.</w:t>
            </w:r>
          </w:p>
          <w:p w:rsidR="003620EC" w:rsidRPr="00035223" w:rsidRDefault="003620EC" w:rsidP="003620E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3620EC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620EC" w:rsidRPr="0037050F" w:rsidRDefault="009A027F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M1.07</w:t>
            </w:r>
          </w:p>
        </w:tc>
        <w:tc>
          <w:tcPr>
            <w:tcW w:w="6237" w:type="dxa"/>
            <w:vAlign w:val="center"/>
          </w:tcPr>
          <w:p w:rsidR="003620EC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620EC" w:rsidRPr="0037050F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Vzorky barevnosti fasád objektu M1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č.10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Ze vzorníku firmy Keim byly vybrány barevné odstíny k provedení vzorků na f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37050F">
              <w:rPr>
                <w:sz w:val="20"/>
                <w:szCs w:val="20"/>
              </w:rPr>
              <w:t>asádě – fasády objektu M1 a) rajského dvora ambitu, b) konventu – část do nádvoří M5, c) věže konventu – od každé barvy vždy více odstínů. Pro provedení budou vzorky prohlédnuty pracovníky státní památkové péče (zástupce NPÚ a MěÚ) a za účasti TDO a projektanta budou vybrány finál</w:t>
            </w:r>
            <w:r w:rsidR="009A027F">
              <w:rPr>
                <w:sz w:val="20"/>
                <w:szCs w:val="20"/>
              </w:rPr>
              <w:t>ní odstíny jednotlivýc</w:t>
            </w:r>
            <w:r w:rsidRPr="0037050F">
              <w:rPr>
                <w:sz w:val="20"/>
                <w:szCs w:val="20"/>
              </w:rPr>
              <w:t xml:space="preserve"> barev k realizaci nátěru fasády. V případě nátěru fasád rajského dvora je možné nátěr realizovat bezprostředně po odsouhlasení finální barevnosti pracovníky SPP. Vybraný vzorek pracovníky SPP bude zaznamenán do stavebního deníku.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>KD č.11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>Po prohlídce provedených vzorků bylo dohodnuto, že pro definitivní výběr barevnosti budou provedeny ještě dopřesňující vzorky a to následujícím způsobem:</w:t>
            </w:r>
          </w:p>
          <w:p w:rsidR="003620EC" w:rsidRPr="003620EC" w:rsidRDefault="003620EC" w:rsidP="003620EC">
            <w:pPr>
              <w:pStyle w:val="Odstavecseseznamem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 xml:space="preserve">Vzorek okrové bude proveden v odstínu o jeden stupeň světlejší než vzorek 9092 (vzorník Keim), barevný odstín červené bude proveden ve vzorku na fasádě ambitu dle vzorku nad vstupním portálem do kostela (vzorek na levé straně). 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lastRenderedPageBreak/>
              <w:t>Barevnost – vybrané vzorky - bude ještě konzultována dne 29.8.2014 s Dr. Lavičkou.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620EC" w:rsidRDefault="003620EC" w:rsidP="003620EC">
            <w:pPr>
              <w:jc w:val="both"/>
              <w:rPr>
                <w:b/>
                <w:sz w:val="20"/>
                <w:szCs w:val="20"/>
              </w:rPr>
            </w:pPr>
            <w:r w:rsidRPr="003620EC">
              <w:rPr>
                <w:b/>
                <w:sz w:val="20"/>
                <w:szCs w:val="20"/>
              </w:rPr>
              <w:t>Vzorek nátěru repasovaného okna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 xml:space="preserve">Dodavatel stavby předložil k odsouhlasení vzorek repasovaného okna s provedeným nátěrem v barevnosti dle PD. Zástupci investora i GP s předloženým vzorkem souhlasí. </w:t>
            </w: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KDč.12</w:t>
            </w: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Po prohlídce vzorků barevnosti provedených dle závěrů KDč.11 Dr. Lavičkou dne 3.9.2014 bylo konstatováno, že v ploše bude proveden barevný odstín dle vzorníku Keim Exclusive č.9092:9095 v poměru 1:1 šambrány budou provedeny v odstínu č.9184.</w:t>
            </w: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Věž bude provedena v odstínu č.9091.</w:t>
            </w: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Vybrané vzorky jsou v souladu s PD.</w:t>
            </w:r>
          </w:p>
          <w:p w:rsidR="003620EC" w:rsidRPr="00DE6AE4" w:rsidRDefault="003620EC" w:rsidP="003620E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lastRenderedPageBreak/>
              <w:t>Stavba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7050F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Provedeno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7050F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4.9.2014</w:t>
            </w:r>
          </w:p>
        </w:tc>
      </w:tr>
      <w:tr w:rsidR="003620EC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620EC" w:rsidRPr="0037050F" w:rsidRDefault="009A027F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M1.08</w:t>
            </w:r>
          </w:p>
        </w:tc>
        <w:tc>
          <w:tcPr>
            <w:tcW w:w="6237" w:type="dxa"/>
            <w:vAlign w:val="center"/>
          </w:tcPr>
          <w:p w:rsidR="003620EC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620EC" w:rsidRPr="0037050F" w:rsidRDefault="003620EC" w:rsidP="003620E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Odvětrávání podlahy ambitu – místnost č.1.02, 1.03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č.10</w:t>
            </w:r>
          </w:p>
          <w:p w:rsid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Obvodový odvětrávací kanál bude proveden pouze v vnější obvodové stěny ambitu</w:t>
            </w:r>
            <w:r>
              <w:rPr>
                <w:sz w:val="20"/>
                <w:szCs w:val="20"/>
              </w:rPr>
              <w:t>,</w:t>
            </w:r>
            <w:r w:rsidRPr="0037050F">
              <w:rPr>
                <w:sz w:val="20"/>
                <w:szCs w:val="20"/>
              </w:rPr>
              <w:t xml:space="preserve"> a to ve světlé šířce min.300 mm a výšce min.400 mm. Definitivní nákres řešení provětrávání podlahy bude předloženo projektantem do příštího KD. Řešení bude předloženo k vydání závazného stanoviska SPP. Stavbou bude provedeno ocenění a následně předložen změnový list.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>KD č.11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>Dodavatel stavby upozornil na skutečnost, že při demontáži původní cihelné dlažby dochází z velké části k její destrukci. Odhaduje, že ke zpětnému položení bude použitelných cca 10% z výměry vybourané plochy nutné k provedení větracího kanálu. Bylo dohodnuto, že pokud bude stav dlažby takový, že ji nebude možné zpětně položit, bude provedeno, v místě, kde byla vybourána, pouze zaštěrkování.</w:t>
            </w: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</w:p>
          <w:p w:rsidR="003620EC" w:rsidRPr="003620EC" w:rsidRDefault="003620EC" w:rsidP="003620EC">
            <w:pPr>
              <w:jc w:val="both"/>
              <w:rPr>
                <w:sz w:val="20"/>
                <w:szCs w:val="20"/>
              </w:rPr>
            </w:pPr>
            <w:r w:rsidRPr="003620EC">
              <w:rPr>
                <w:sz w:val="20"/>
                <w:szCs w:val="20"/>
              </w:rPr>
              <w:t>Náhrobní kámen proti vstupu do kaple Sv. Wolfganga bude ponechán ve své stávající poloze.</w:t>
            </w:r>
          </w:p>
          <w:p w:rsidR="003620EC" w:rsidRDefault="003620EC" w:rsidP="003620EC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KD č.12</w:t>
            </w:r>
          </w:p>
          <w:p w:rsidR="003620EC" w:rsidRPr="00E86027" w:rsidRDefault="003620EC" w:rsidP="003620EC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Po demontáži dlažby bylo zjištěno, že destrukce dlažby není tak rozsáhlá, bude možnost návratu zpět cca 50% ploch s tím, že zbývající část bude zaštěrkována. V místech, kde není možné projít plným profilem kanálu budou jeho části propojeny profilem 2x pr.100 mm.</w:t>
            </w:r>
          </w:p>
          <w:p w:rsidR="003620EC" w:rsidRPr="0037050F" w:rsidRDefault="003620EC" w:rsidP="003620E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620EC" w:rsidRPr="0037050F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Projektant</w:t>
            </w:r>
          </w:p>
        </w:tc>
        <w:tc>
          <w:tcPr>
            <w:tcW w:w="1417" w:type="dxa"/>
            <w:vAlign w:val="center"/>
          </w:tcPr>
          <w:p w:rsidR="003620EC" w:rsidRPr="0037050F" w:rsidRDefault="003620EC" w:rsidP="003620EC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CD4993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CD4993" w:rsidRPr="0037050F" w:rsidRDefault="009A027F" w:rsidP="00CD49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M1.09</w:t>
            </w:r>
          </w:p>
        </w:tc>
        <w:tc>
          <w:tcPr>
            <w:tcW w:w="6237" w:type="dxa"/>
            <w:vAlign w:val="center"/>
          </w:tcPr>
          <w:p w:rsidR="006016AE" w:rsidRDefault="006016AE" w:rsidP="00CD4993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CD4993" w:rsidRPr="0037050F" w:rsidRDefault="00CD4993" w:rsidP="00CD4993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Drenáž v rajském dvoře</w:t>
            </w:r>
          </w:p>
          <w:p w:rsidR="00CD4993" w:rsidRDefault="00CD4993" w:rsidP="00CD49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č.10</w:t>
            </w:r>
          </w:p>
          <w:p w:rsidR="00CD4993" w:rsidRPr="0037050F" w:rsidRDefault="00CD4993" w:rsidP="00CD4993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Je nutné prověřit, jestli bude možné provést zaústění drenáže v rajském dvoře do kanalizace v zahradě M5.</w:t>
            </w:r>
          </w:p>
          <w:p w:rsidR="00CD4993" w:rsidRPr="0037050F" w:rsidRDefault="00CD4993" w:rsidP="00CD49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4993" w:rsidRPr="0037050F" w:rsidRDefault="00CD4993" w:rsidP="00CD4993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CD4993" w:rsidRPr="0037050F" w:rsidRDefault="00CD4993" w:rsidP="00CD4993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37531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37531A" w:rsidRPr="0037050F" w:rsidRDefault="009A027F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M1.10</w:t>
            </w:r>
          </w:p>
        </w:tc>
        <w:tc>
          <w:tcPr>
            <w:tcW w:w="6237" w:type="dxa"/>
            <w:vAlign w:val="center"/>
          </w:tcPr>
          <w:p w:rsidR="009A027F" w:rsidRDefault="009A027F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A027F" w:rsidRDefault="009A027F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7531A" w:rsidRPr="0037050F" w:rsidRDefault="0037531A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lastRenderedPageBreak/>
              <w:t>Vzorek dlažebních desek</w:t>
            </w:r>
          </w:p>
          <w:p w:rsidR="0037531A" w:rsidRDefault="0037531A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č.10</w:t>
            </w: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Dodavatel stavby předložil k odsouhlasení vzorek kamenné desky z mrákotínské žuly, která by měla být použita k provedení dlažeb v ambitu a na provedení okapových chodníků objektu M1. Předložený vzorek byl k použití odsouhlasen zástupci SPP, projektantem i zástupci investora.</w:t>
            </w: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7" w:type="dxa"/>
            <w:vAlign w:val="center"/>
          </w:tcPr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9A027F" w:rsidRDefault="009A027F" w:rsidP="0037531A">
            <w:pPr>
              <w:jc w:val="both"/>
              <w:rPr>
                <w:sz w:val="20"/>
                <w:szCs w:val="20"/>
              </w:rPr>
            </w:pP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lastRenderedPageBreak/>
              <w:t>průběžně</w:t>
            </w:r>
          </w:p>
        </w:tc>
      </w:tr>
      <w:tr w:rsidR="0037531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7531A" w:rsidRPr="0037050F" w:rsidRDefault="009A027F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M1.11</w:t>
            </w:r>
          </w:p>
        </w:tc>
        <w:tc>
          <w:tcPr>
            <w:tcW w:w="6237" w:type="dxa"/>
            <w:vAlign w:val="center"/>
          </w:tcPr>
          <w:p w:rsidR="006016AE" w:rsidRDefault="006016AE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7531A" w:rsidRPr="0037050F" w:rsidRDefault="0037531A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Náhrobní kámen mezi spojovací chodbou a kaplí sv. Wolfganga</w:t>
            </w:r>
          </w:p>
          <w:p w:rsidR="0037531A" w:rsidRDefault="0037531A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č.10</w:t>
            </w: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Bude provedeno obrácení druhotně položeného náhrobního kamene reliéfem nahoru. Stavbou bude provedeno ocenění a následně předložen změnový list.</w:t>
            </w:r>
          </w:p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37531A" w:rsidRPr="0037050F" w:rsidRDefault="0037531A" w:rsidP="0037531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37531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37531A" w:rsidRPr="0037531A" w:rsidRDefault="009A027F" w:rsidP="003753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M1.12</w:t>
            </w:r>
          </w:p>
        </w:tc>
        <w:tc>
          <w:tcPr>
            <w:tcW w:w="6237" w:type="dxa"/>
            <w:vAlign w:val="center"/>
          </w:tcPr>
          <w:p w:rsidR="0037531A" w:rsidRPr="0037531A" w:rsidRDefault="0037531A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7531A" w:rsidRPr="0037531A" w:rsidRDefault="0037531A" w:rsidP="0037531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531A">
              <w:rPr>
                <w:b/>
                <w:sz w:val="20"/>
                <w:szCs w:val="20"/>
                <w:u w:val="single"/>
              </w:rPr>
              <w:t>Fasáda kaple Sv. Wolfganga</w:t>
            </w:r>
          </w:p>
          <w:p w:rsidR="0037531A" w:rsidRPr="0037531A" w:rsidRDefault="0037531A" w:rsidP="0037531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KD č.11</w:t>
            </w:r>
          </w:p>
          <w:p w:rsidR="0037531A" w:rsidRPr="0037531A" w:rsidRDefault="0037531A" w:rsidP="0037531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Při obnově fasády bude obnoven otisk po letní kuchyni. Omítka štítu nad spojovací chodbou bude provedena dle PD s tím, že bude proveden vzorek způsobu provedení omítky (hozená a stržená lžící).</w:t>
            </w:r>
          </w:p>
          <w:p w:rsidR="0037531A" w:rsidRPr="0037531A" w:rsidRDefault="0037531A" w:rsidP="003753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7531A" w:rsidRPr="0037531A" w:rsidRDefault="0037531A" w:rsidP="0037531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37531A" w:rsidRPr="0037531A" w:rsidRDefault="0037531A" w:rsidP="0037531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11.9.2014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M1.13</w:t>
            </w:r>
          </w:p>
        </w:tc>
        <w:tc>
          <w:tcPr>
            <w:tcW w:w="6237" w:type="dxa"/>
            <w:vAlign w:val="center"/>
          </w:tcPr>
          <w:p w:rsidR="006016AE" w:rsidRDefault="006016AE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C005A" w:rsidRPr="008C2813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C2813">
              <w:rPr>
                <w:b/>
                <w:sz w:val="20"/>
                <w:szCs w:val="20"/>
                <w:u w:val="single"/>
              </w:rPr>
              <w:t>Schodiště z 1.03 do 1.16</w:t>
            </w:r>
          </w:p>
          <w:p w:rsidR="004C005A" w:rsidRPr="008C2813" w:rsidRDefault="004C005A" w:rsidP="004C005A">
            <w:pPr>
              <w:jc w:val="both"/>
              <w:rPr>
                <w:sz w:val="20"/>
                <w:szCs w:val="20"/>
              </w:rPr>
            </w:pPr>
            <w:r w:rsidRPr="008C2813">
              <w:rPr>
                <w:sz w:val="20"/>
                <w:szCs w:val="20"/>
              </w:rPr>
              <w:t>KD č.12</w:t>
            </w:r>
          </w:p>
          <w:p w:rsidR="004C005A" w:rsidRPr="008C2813" w:rsidRDefault="004C005A" w:rsidP="004C005A">
            <w:pPr>
              <w:jc w:val="both"/>
              <w:rPr>
                <w:sz w:val="20"/>
                <w:szCs w:val="20"/>
              </w:rPr>
            </w:pPr>
            <w:r w:rsidRPr="008C2813">
              <w:rPr>
                <w:sz w:val="20"/>
                <w:szCs w:val="20"/>
              </w:rPr>
              <w:t>Při provádění výkopových prací v ambitu bylo odkryto původní schodiště mezi místnostmi 1.03 a 1.16. Náznak schodiště zasahuje</w:t>
            </w:r>
            <w:r w:rsidR="006016AE" w:rsidRPr="008C2813">
              <w:rPr>
                <w:sz w:val="20"/>
                <w:szCs w:val="20"/>
              </w:rPr>
              <w:t xml:space="preserve"> více do plochy ambitu a</w:t>
            </w:r>
            <w:r w:rsidR="0000416B" w:rsidRPr="008C2813">
              <w:rPr>
                <w:sz w:val="20"/>
                <w:szCs w:val="20"/>
              </w:rPr>
              <w:t xml:space="preserve"> má </w:t>
            </w:r>
            <w:r w:rsidRPr="008C2813">
              <w:rPr>
                <w:sz w:val="20"/>
                <w:szCs w:val="20"/>
              </w:rPr>
              <w:t>vyhovující spád</w:t>
            </w:r>
            <w:r w:rsidR="006016AE" w:rsidRPr="008C2813">
              <w:rPr>
                <w:sz w:val="20"/>
                <w:szCs w:val="20"/>
              </w:rPr>
              <w:t xml:space="preserve">. Dále </w:t>
            </w:r>
            <w:r w:rsidRPr="008C2813">
              <w:rPr>
                <w:sz w:val="20"/>
                <w:szCs w:val="20"/>
              </w:rPr>
              <w:t>lépe umožňuje instalaci dveří v místnosti 1.16. Stávající schodišťové stupně jsou novodobé a provozně méně vyhovující. GP navrhuje provést sondy s cílem obnovení původního historického schodiště. Tvary nášlapů původního schodiště jsou zachovány v otisku v omítkách (omítky vč. šedého nátěru) v soklové části.</w:t>
            </w:r>
          </w:p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č.13</w:t>
            </w:r>
          </w:p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Bylo provedeno odhalení původního schodiště v celém rozsahu.</w:t>
            </w:r>
          </w:p>
          <w:p w:rsidR="004C005A" w:rsidRPr="00694673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8C2813" w:rsidRDefault="004C005A" w:rsidP="004C005A">
            <w:pPr>
              <w:jc w:val="both"/>
              <w:rPr>
                <w:sz w:val="20"/>
                <w:szCs w:val="20"/>
              </w:rPr>
            </w:pPr>
            <w:r w:rsidRPr="008C2813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8C2813" w:rsidRDefault="004C005A" w:rsidP="004C005A">
            <w:pPr>
              <w:jc w:val="both"/>
              <w:rPr>
                <w:sz w:val="20"/>
                <w:szCs w:val="20"/>
              </w:rPr>
            </w:pPr>
            <w:r w:rsidRPr="008C2813">
              <w:rPr>
                <w:sz w:val="20"/>
                <w:szCs w:val="20"/>
              </w:rPr>
              <w:t>11.9.2014</w:t>
            </w:r>
          </w:p>
        </w:tc>
      </w:tr>
      <w:tr w:rsidR="006A3C92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6A3C92" w:rsidRDefault="006A3C92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M1.14</w:t>
            </w:r>
          </w:p>
        </w:tc>
        <w:tc>
          <w:tcPr>
            <w:tcW w:w="6237" w:type="dxa"/>
            <w:vAlign w:val="center"/>
          </w:tcPr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č.13</w:t>
            </w:r>
          </w:p>
          <w:p w:rsidR="008C2813" w:rsidRPr="008C2813" w:rsidRDefault="008C2813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8C2813">
              <w:rPr>
                <w:b/>
                <w:color w:val="FF0000"/>
                <w:sz w:val="20"/>
                <w:szCs w:val="20"/>
                <w:u w:val="single"/>
              </w:rPr>
              <w:t>Okna do rajského dvora</w:t>
            </w:r>
          </w:p>
          <w:p w:rsidR="006A3C92" w:rsidRDefault="006A3C92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6A3C92">
              <w:rPr>
                <w:color w:val="FF0000"/>
                <w:sz w:val="20"/>
                <w:szCs w:val="20"/>
              </w:rPr>
              <w:t>Při zpracování PD</w:t>
            </w:r>
            <w:r>
              <w:rPr>
                <w:color w:val="FF0000"/>
                <w:sz w:val="20"/>
                <w:szCs w:val="20"/>
              </w:rPr>
              <w:t xml:space="preserve"> na nové provedení kamenných prutů v oknech do rajského dvora </w:t>
            </w:r>
            <w:r w:rsidR="008C2813">
              <w:rPr>
                <w:color w:val="FF0000"/>
                <w:sz w:val="20"/>
                <w:szCs w:val="20"/>
              </w:rPr>
              <w:t>upozornil správce objektu, že je potřebné a</w:t>
            </w:r>
            <w:r>
              <w:rPr>
                <w:color w:val="FF0000"/>
                <w:sz w:val="20"/>
                <w:szCs w:val="20"/>
              </w:rPr>
              <w:t xml:space="preserve"> nutné v rámci dílenské dokumentace </w:t>
            </w:r>
            <w:r w:rsidR="008C2813">
              <w:rPr>
                <w:color w:val="FF0000"/>
                <w:sz w:val="20"/>
                <w:szCs w:val="20"/>
              </w:rPr>
              <w:t>vyřešit</w:t>
            </w:r>
            <w:r>
              <w:rPr>
                <w:color w:val="FF0000"/>
                <w:sz w:val="20"/>
                <w:szCs w:val="20"/>
              </w:rPr>
              <w:t xml:space="preserve"> i detail provedení zasklení oken s možností dílčího otevírání popř. vyndání a nahrazení síťkou v letních měsících z důvodu provětrávání prostor.</w:t>
            </w:r>
          </w:p>
          <w:p w:rsidR="008C2813" w:rsidRPr="006A3C92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A3C92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</w:t>
            </w:r>
          </w:p>
        </w:tc>
        <w:tc>
          <w:tcPr>
            <w:tcW w:w="1417" w:type="dxa"/>
            <w:vAlign w:val="center"/>
          </w:tcPr>
          <w:p w:rsidR="006A3C92" w:rsidRDefault="006A3C92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8C2813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8C2813" w:rsidRDefault="008C2813" w:rsidP="004C005A">
            <w:pPr>
              <w:jc w:val="both"/>
              <w:rPr>
                <w:sz w:val="20"/>
                <w:szCs w:val="20"/>
              </w:rPr>
            </w:pPr>
          </w:p>
          <w:p w:rsidR="008C2813" w:rsidRDefault="008C281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M1.15</w:t>
            </w:r>
          </w:p>
        </w:tc>
        <w:tc>
          <w:tcPr>
            <w:tcW w:w="6237" w:type="dxa"/>
            <w:vAlign w:val="center"/>
          </w:tcPr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č.13</w:t>
            </w:r>
          </w:p>
          <w:p w:rsidR="008C2813" w:rsidRDefault="008C2813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8C2813">
              <w:rPr>
                <w:b/>
                <w:color w:val="FF0000"/>
                <w:sz w:val="20"/>
                <w:szCs w:val="20"/>
                <w:u w:val="single"/>
              </w:rPr>
              <w:t>Kaple Sv. Wolfganga</w:t>
            </w:r>
          </w:p>
          <w:p w:rsidR="008C2813" w:rsidRDefault="008C281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nutné vyřešit druh a umístění nouzového osvětlení. Do stávající navržené pozice nade dveřmi se nouzové světlo nevejde</w:t>
            </w:r>
            <w:r w:rsidR="0060384D">
              <w:rPr>
                <w:color w:val="FF0000"/>
                <w:sz w:val="20"/>
                <w:szCs w:val="20"/>
              </w:rPr>
              <w:t>,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60384D">
              <w:rPr>
                <w:color w:val="FF0000"/>
                <w:sz w:val="20"/>
                <w:szCs w:val="20"/>
              </w:rPr>
              <w:t xml:space="preserve">vedle toho by umístění nouzového světla znamenalo i zásah do výmalby kaple. Dodavatel </w:t>
            </w:r>
            <w:r w:rsidR="0060384D">
              <w:rPr>
                <w:color w:val="FF0000"/>
                <w:sz w:val="20"/>
                <w:szCs w:val="20"/>
              </w:rPr>
              <w:lastRenderedPageBreak/>
              <w:t>EI požaduje pro další provádění prací upřesnění vhodného typu nouzového svítidla a jeho umístění.</w:t>
            </w:r>
          </w:p>
          <w:p w:rsidR="0060384D" w:rsidRPr="008C2813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C2813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GP</w:t>
            </w:r>
          </w:p>
        </w:tc>
        <w:tc>
          <w:tcPr>
            <w:tcW w:w="1417" w:type="dxa"/>
            <w:vAlign w:val="center"/>
          </w:tcPr>
          <w:p w:rsidR="008C2813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30.9.2014</w:t>
            </w:r>
          </w:p>
        </w:tc>
      </w:tr>
      <w:tr w:rsidR="0060384D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60384D" w:rsidRDefault="0060384D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M1.16</w:t>
            </w:r>
          </w:p>
        </w:tc>
        <w:tc>
          <w:tcPr>
            <w:tcW w:w="6237" w:type="dxa"/>
            <w:vAlign w:val="center"/>
          </w:tcPr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č.13</w:t>
            </w:r>
          </w:p>
          <w:p w:rsidR="0060384D" w:rsidRPr="0060384D" w:rsidRDefault="0060384D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60384D">
              <w:rPr>
                <w:b/>
                <w:color w:val="FF0000"/>
                <w:sz w:val="20"/>
                <w:szCs w:val="20"/>
                <w:u w:val="single"/>
              </w:rPr>
              <w:t>Světla – schodiště z</w:t>
            </w:r>
            <w:r>
              <w:rPr>
                <w:b/>
                <w:color w:val="FF0000"/>
                <w:sz w:val="20"/>
                <w:szCs w:val="20"/>
                <w:u w:val="single"/>
              </w:rPr>
              <w:t> </w:t>
            </w:r>
            <w:r w:rsidRPr="0060384D">
              <w:rPr>
                <w:b/>
                <w:color w:val="FF0000"/>
                <w:sz w:val="20"/>
                <w:szCs w:val="20"/>
                <w:u w:val="single"/>
              </w:rPr>
              <w:t>místnosti 1.16 do 2.NP</w:t>
            </w:r>
          </w:p>
          <w:p w:rsidR="0060384D" w:rsidRDefault="0060384D" w:rsidP="0060384D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Světla na schodišti z místnosti 1.16 do 2.NP. Dodavatel EI upozornil na nesrovnalosti v umístění světel respektive ve výšce svítidla na posledním schodu před podestou, kde nástěnné svítidlo při dodržení výšky dle PD vychází do klenby nikoli na stěnu a snižuje tak průchozí profil.</w:t>
            </w:r>
          </w:p>
          <w:p w:rsidR="0060384D" w:rsidRDefault="0060384D" w:rsidP="0060384D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</w:t>
            </w:r>
          </w:p>
        </w:tc>
        <w:tc>
          <w:tcPr>
            <w:tcW w:w="1417" w:type="dxa"/>
            <w:vAlign w:val="center"/>
          </w:tcPr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30.9.2014</w:t>
            </w:r>
          </w:p>
        </w:tc>
      </w:tr>
      <w:tr w:rsidR="0060384D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60384D" w:rsidRDefault="0060384D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M1.17</w:t>
            </w:r>
          </w:p>
        </w:tc>
        <w:tc>
          <w:tcPr>
            <w:tcW w:w="6237" w:type="dxa"/>
            <w:vAlign w:val="center"/>
          </w:tcPr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č.13</w:t>
            </w:r>
          </w:p>
          <w:p w:rsidR="0060384D" w:rsidRDefault="0060384D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60384D">
              <w:rPr>
                <w:b/>
                <w:color w:val="FF0000"/>
                <w:sz w:val="20"/>
                <w:szCs w:val="20"/>
                <w:u w:val="single"/>
              </w:rPr>
              <w:t>Ovládání žaluzií ve fotoateliéru (bývalé kapli Sv. Bartoloměje)</w:t>
            </w:r>
          </w:p>
          <w:p w:rsidR="0060384D" w:rsidRP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Dodavatel EI požaduje upřesnění ovládání žaluzií</w:t>
            </w:r>
            <w:r w:rsidR="00DF56BF">
              <w:rPr>
                <w:color w:val="FF0000"/>
                <w:sz w:val="20"/>
                <w:szCs w:val="20"/>
              </w:rPr>
              <w:t xml:space="preserve"> a to jestli všechny žaluzie se mají spouštět najednou nebo jednotlivě.</w:t>
            </w:r>
          </w:p>
          <w:p w:rsidR="0060384D" w:rsidRDefault="0060384D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0384D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</w:t>
            </w:r>
          </w:p>
        </w:tc>
        <w:tc>
          <w:tcPr>
            <w:tcW w:w="1417" w:type="dxa"/>
            <w:vAlign w:val="center"/>
          </w:tcPr>
          <w:p w:rsidR="0060384D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30.9.2014</w:t>
            </w:r>
          </w:p>
        </w:tc>
      </w:tr>
      <w:tr w:rsidR="00DF56BF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DF56BF" w:rsidRDefault="00DF56B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M1.18</w:t>
            </w:r>
          </w:p>
        </w:tc>
        <w:tc>
          <w:tcPr>
            <w:tcW w:w="6237" w:type="dxa"/>
            <w:vAlign w:val="center"/>
          </w:tcPr>
          <w:p w:rsidR="00DF56BF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F56BF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č.13</w:t>
            </w:r>
          </w:p>
          <w:p w:rsidR="00DF56BF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Dodavatel EI žádá o zajištění schůzky za účasti zpracovatele profese EI a požární bezpečnosti s ohledem na potřebu dopřesnění a sladění požadavků PB s EI.</w:t>
            </w:r>
          </w:p>
          <w:p w:rsidR="00DF56BF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F56BF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</w:t>
            </w:r>
          </w:p>
        </w:tc>
        <w:tc>
          <w:tcPr>
            <w:tcW w:w="1417" w:type="dxa"/>
            <w:vAlign w:val="center"/>
          </w:tcPr>
          <w:p w:rsidR="00DF56BF" w:rsidRDefault="00F953F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Bude přesněno</w:t>
            </w:r>
          </w:p>
        </w:tc>
      </w:tr>
      <w:tr w:rsidR="00D308B9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M1.19</w:t>
            </w:r>
          </w:p>
        </w:tc>
        <w:tc>
          <w:tcPr>
            <w:tcW w:w="6237" w:type="dxa"/>
            <w:vAlign w:val="center"/>
          </w:tcPr>
          <w:p w:rsidR="00D308B9" w:rsidRDefault="00D308B9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č.13</w:t>
            </w:r>
          </w:p>
          <w:p w:rsidR="00D308B9" w:rsidRPr="00D308B9" w:rsidRDefault="00D308B9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D308B9">
              <w:rPr>
                <w:b/>
                <w:color w:val="FF0000"/>
                <w:sz w:val="20"/>
                <w:szCs w:val="20"/>
                <w:u w:val="single"/>
              </w:rPr>
              <w:t>Statické zabezpečení nad bývalým refektářem</w:t>
            </w:r>
          </w:p>
          <w:p w:rsidR="00D308B9" w:rsidRDefault="00D308B9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 provedení zaměření ocelových prvků před prováděním prací bylo zjištěno, že v průběhu prací postupně odkrytá střední nosná zeď v úrovni podlahy 2.NP není v pozici předpokládané projektem je oproti zdi v 1.NP posunuta o 40 cm. Všechny nosné ocelové prvky je tedy nutné provést o 40 cm delší, než předpokládalo PD. Stavba provede dopočítání skutečného objemu oceli nutné pro provedení statického zajištění a k navýšení objemu oceli bude zpracován změnový list.</w:t>
            </w:r>
          </w:p>
          <w:p w:rsidR="00D308B9" w:rsidRPr="00D308B9" w:rsidRDefault="00D308B9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308B9" w:rsidRDefault="00D308B9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D308B9" w:rsidRDefault="00F953F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25.9.2014</w:t>
            </w:r>
          </w:p>
        </w:tc>
      </w:tr>
      <w:tr w:rsidR="009A4008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9A4008" w:rsidRDefault="009A4008" w:rsidP="004C005A">
            <w:pPr>
              <w:jc w:val="both"/>
              <w:rPr>
                <w:sz w:val="20"/>
                <w:szCs w:val="20"/>
              </w:rPr>
            </w:pPr>
          </w:p>
          <w:p w:rsidR="009A4008" w:rsidRDefault="009A4008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M1.20</w:t>
            </w:r>
          </w:p>
        </w:tc>
        <w:tc>
          <w:tcPr>
            <w:tcW w:w="6237" w:type="dxa"/>
            <w:vAlign w:val="center"/>
          </w:tcPr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č.13</w:t>
            </w:r>
          </w:p>
          <w:p w:rsidR="009A4008" w:rsidRDefault="009A4008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9A4008">
              <w:rPr>
                <w:b/>
                <w:color w:val="FF0000"/>
                <w:sz w:val="20"/>
                <w:szCs w:val="20"/>
                <w:u w:val="single"/>
              </w:rPr>
              <w:t>Kaple Sv. Bartoloměje</w:t>
            </w:r>
          </w:p>
          <w:p w:rsidR="009A4008" w:rsidRP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Před započetím prací je nutné provést ověření nosnosti stropních kcí statikem a to zejména s ohledem na budoucí umístění nosných ocelových kcí pro pojezd světel a technologií ve fotoateliéru (vkládaná systémová kce).</w:t>
            </w:r>
          </w:p>
          <w:p w:rsidR="009A4008" w:rsidRPr="009A4008" w:rsidRDefault="009A4008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</w:t>
            </w:r>
          </w:p>
        </w:tc>
        <w:tc>
          <w:tcPr>
            <w:tcW w:w="1417" w:type="dxa"/>
            <w:vAlign w:val="center"/>
          </w:tcPr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30.9.2014</w:t>
            </w:r>
          </w:p>
        </w:tc>
      </w:tr>
      <w:tr w:rsidR="00F953F3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F953F3" w:rsidRDefault="00F953F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M1.21</w:t>
            </w:r>
          </w:p>
        </w:tc>
        <w:tc>
          <w:tcPr>
            <w:tcW w:w="6237" w:type="dxa"/>
            <w:vAlign w:val="center"/>
          </w:tcPr>
          <w:p w:rsidR="00F953F3" w:rsidRDefault="00F953F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F953F3" w:rsidRDefault="00F953F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č.13</w:t>
            </w:r>
          </w:p>
          <w:p w:rsidR="00F953F3" w:rsidRDefault="00F953F3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F953F3">
              <w:rPr>
                <w:b/>
                <w:color w:val="FF0000"/>
                <w:sz w:val="20"/>
                <w:szCs w:val="20"/>
                <w:u w:val="single"/>
              </w:rPr>
              <w:t>Dveře z 1.03 do rajského dvora</w:t>
            </w:r>
          </w:p>
          <w:p w:rsidR="00F953F3" w:rsidRPr="00F953F3" w:rsidRDefault="00F953F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Dodavatel truhlářských prvků upozornil na to, že se při provádění opravy objevilo, že dveře, které byly určené k repasi, jsou v dolní části ve velké míře poškozené a uhnilé. Firma dodá fotodokumentaci a technický popis a navrhuje, že nebude provádět repasi dveří, ale vyrobí přesnou kopii. Navrhované řešení je bez dopadu do ceny.</w:t>
            </w:r>
          </w:p>
        </w:tc>
        <w:tc>
          <w:tcPr>
            <w:tcW w:w="1134" w:type="dxa"/>
            <w:vAlign w:val="center"/>
          </w:tcPr>
          <w:p w:rsidR="00F953F3" w:rsidRDefault="00F953F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F953F3" w:rsidRDefault="00F953F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25.9.2014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3D68DD" w:rsidRDefault="004C005A" w:rsidP="004C005A">
            <w:pPr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Objekt M2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M2.01</w:t>
            </w:r>
          </w:p>
        </w:tc>
        <w:tc>
          <w:tcPr>
            <w:tcW w:w="6237" w:type="dxa"/>
            <w:vAlign w:val="center"/>
          </w:tcPr>
          <w:p w:rsidR="006016AE" w:rsidRDefault="006016AE" w:rsidP="004C005A">
            <w:pPr>
              <w:jc w:val="both"/>
              <w:rPr>
                <w:sz w:val="20"/>
                <w:szCs w:val="20"/>
              </w:rPr>
            </w:pPr>
          </w:p>
          <w:p w:rsidR="006016AE" w:rsidRPr="006016AE" w:rsidRDefault="006016AE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6016AE">
              <w:rPr>
                <w:b/>
                <w:sz w:val="20"/>
                <w:szCs w:val="20"/>
                <w:u w:val="single"/>
              </w:rPr>
              <w:t>Schodiště do sklepních prostor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č.7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Byly zahájeny práce – provedeny výkopové práce – pro stavbu nového schodiště do sklepních prostor objektu M2. Stavba upozorňuje na skutečnost, že výška uváděná v PD neodpovídá skutečnosti – úroveň terénu zahrady M6 v tomto místě je oproti podlaze nalezené pod zazdívkou původního otvoru vedoucího do sklepních prostor o 40 cm níže, než je předpokládáno v PD. Bude tedy nutné provést kamennou opěrnou zeď schodiště o 40 cm vyšší a do kce schodiště přidat nově dva kamenné stupně.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KD č. 8 – bude řešeno formou technické zprávy a úpravy PD. 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Návrh úprav bude předložen k vydání závazného stanoviska SPP. Stavbou bude provedeno ocenění a následně předložen změnový list.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 xml:space="preserve">KD č. 9 – při dalším provádění výkopu a odhalení základového zdiva objektu M2 bylo zjištěno, že do prostoru schodiště zasahuje výčnělek z kamenného základového zdiva, který částečně brání v osazení schodišťových stupňů. Toto zdivo bude nutné rozebrat a přezdít tak, aby nezasahovalo do prostoru schodiště. V projektové dokumentaci dále není určena úprava zdiva objektu M2 pod úrovní terénu. Omítka v této části bude provedena ve stejné úpravě jako omítka stávající soklové části. 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M2.02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A965F5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Místnosti – učebny ve 2.NP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č.9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 přední místnosti bylo nutné po odstranění původní příčky rozebrat dřevěnou fošnovou podlahu v celé ploše vzhledem k tomu, že v zadní místnosti byly fošny podlahy položeny ve směru kolmo k fošnám v místnosti přední. Zvětšila se tak oproti předpokladu plocha opravované podlahy.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 místnostech je nutné rozhodnou s definitivní platností vedení tras slaboproudých rozvodů.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Byl proveden nový základ pod nově stavěnou příčku a následně provedeno i vyzdění příčky.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Vzhledem k tomu, že nová pozice příčky přetíná nesymetricky středové zrcadlo stropu místností, které bylo provedeno analyticky v rámci předchozí rekonstrukce, bylo rozhodnuto projektantem, že bude provedeno jeho zaplnění maltou a v nově vzniklých místnostech budou prezentována pouze krajní zrcadla.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Návrh všech úprav bude zapracován do projektové dokumentace a bude předložen k vydání závazného stanoviska SPP. Stavbou bude provedeno ocenění a následně předložen změnový list.</w:t>
            </w: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KD č.10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Dodavatel EI předložil vzorek svítidla pro učebny ve 2.NP. Projektant předběžně souhlasí s použitím svítidla po stránce designu, ale k definitivnímu rozhodnutí je nutné, aby dodavatel EI předložil technický list svítidla obsahující světelné parametry (zejména křivku svítivosti), aby bylo možné zkontrolovat, že dané svítidlo odpovídá požadavkům v PD.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E86027" w:rsidRDefault="004C005A" w:rsidP="004C005A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KD č.12</w:t>
            </w:r>
          </w:p>
          <w:p w:rsidR="004C005A" w:rsidRPr="00E86027" w:rsidRDefault="004C005A" w:rsidP="004C005A">
            <w:pPr>
              <w:jc w:val="both"/>
              <w:rPr>
                <w:sz w:val="20"/>
                <w:szCs w:val="20"/>
              </w:rPr>
            </w:pPr>
            <w:r w:rsidRPr="00E86027">
              <w:rPr>
                <w:sz w:val="20"/>
                <w:szCs w:val="20"/>
              </w:rPr>
              <w:t>Po prověření technických parametrů svítidel, které předložil dodavatel GP. GP s předloženým vzorkem souhlasí.</w:t>
            </w:r>
          </w:p>
          <w:p w:rsidR="004C005A" w:rsidRPr="005E5AB3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Stavba</w:t>
            </w: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7" w:type="dxa"/>
            <w:vAlign w:val="center"/>
          </w:tcPr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D308B9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Provedeno</w:t>
            </w:r>
          </w:p>
        </w:tc>
      </w:tr>
      <w:tr w:rsidR="009A4008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9A4008" w:rsidRDefault="009A4008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M2.03</w:t>
            </w:r>
          </w:p>
        </w:tc>
        <w:tc>
          <w:tcPr>
            <w:tcW w:w="6237" w:type="dxa"/>
            <w:vAlign w:val="center"/>
          </w:tcPr>
          <w:p w:rsidR="009A4008" w:rsidRDefault="009A4008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9A4008" w:rsidRP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9A4008">
              <w:rPr>
                <w:color w:val="FF0000"/>
                <w:sz w:val="20"/>
                <w:szCs w:val="20"/>
              </w:rPr>
              <w:t>KD č.13</w:t>
            </w:r>
          </w:p>
          <w:p w:rsidR="009A4008" w:rsidRDefault="009A4008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9A4008">
              <w:rPr>
                <w:b/>
                <w:color w:val="FF0000"/>
                <w:sz w:val="20"/>
                <w:szCs w:val="20"/>
                <w:u w:val="single"/>
              </w:rPr>
              <w:t>Klima jednotky ve sklepních prostorách</w:t>
            </w:r>
          </w:p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Stavba předložila ke schválení typ klima jednotek s upozorněním, že je rozpor v množství uvedeném projektem a výkazem výměr. </w:t>
            </w:r>
          </w:p>
          <w:p w:rsidR="009A4008" w:rsidRP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4008" w:rsidRPr="006417BF" w:rsidRDefault="009A4008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A4008" w:rsidRPr="006417BF" w:rsidRDefault="009A4008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M3 - altán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Pr="0037050F" w:rsidRDefault="009A027F" w:rsidP="009A02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M3.01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37050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Objekt M3 – Altán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č.10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 xml:space="preserve">Stavba vznesla dotaz s odkazem na obtížnou dostupnost materiálu uvedeného v PD (jedlový šindel) jestli je možné k provedení krytiny použít modřínový šindel. Projektant preferuje použití jedlového šindele s ohledem na jeho lepší parametry a trvanlivost. Zástupce investora R. Sáček informoval stavbu o dostupnosti jedlového šindele v Rožnově pod Radhoštěm. </w:t>
            </w:r>
          </w:p>
          <w:p w:rsidR="004C005A" w:rsidRPr="00CD4993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CD4993" w:rsidRDefault="004C005A" w:rsidP="004C005A">
            <w:pPr>
              <w:jc w:val="both"/>
              <w:rPr>
                <w:sz w:val="20"/>
                <w:szCs w:val="20"/>
              </w:rPr>
            </w:pPr>
            <w:r w:rsidRPr="00CD4993">
              <w:rPr>
                <w:sz w:val="20"/>
                <w:szCs w:val="20"/>
              </w:rPr>
              <w:t>KD č.11</w:t>
            </w:r>
          </w:p>
          <w:p w:rsidR="004C005A" w:rsidRPr="00CD4993" w:rsidRDefault="004C005A" w:rsidP="004C005A">
            <w:pPr>
              <w:jc w:val="both"/>
              <w:rPr>
                <w:sz w:val="20"/>
                <w:szCs w:val="20"/>
              </w:rPr>
            </w:pPr>
            <w:r w:rsidRPr="00CD4993">
              <w:rPr>
                <w:sz w:val="20"/>
                <w:szCs w:val="20"/>
              </w:rPr>
              <w:t>Byla prověřena možnost dodávky jedlového šindele z uvedeného zdroje. Dodávka šindele je možná až na jaře příštího roku. Zástupce investora i GP trvají na pokrytí střechy jedlovým šindelem dle PD. Stavba navrhne způsob provizorního zastřešení, tak aby stavba byla důkladně zabezpečena před povětrnostními vlivy do doby, než bude na jaře 2015 dodána a provedena střešní krytina. Stavbou bude provedeno ocenění provizorního zastřešení a následně předložen změnový list.</w:t>
            </w: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>KD č.12</w:t>
            </w:r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>GP požaduje, aby po provedení provizorního zastřešení, byla konstrukce ve všech detailech provětrávaná. Investor požaduje, aby stavba byla zabezpečena tak, aby nedošlo k zatečení a poškození opravených štukových prvků v celém období před položením definitivní krytiny, tak v době výměny provizorní střešní krytiny za definitivní. Na základě požadavku GP a investora stavba navrhuje použít na provizorní zastřešení kompletní systém střešní krytiny z vlnitých bitumenových desek, který bude namontován na finální zalaťování. Stavbou bude provedeno ocenění provizorního zastřešení a následně předložen změnový list.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4C005A">
              <w:rPr>
                <w:sz w:val="20"/>
                <w:szCs w:val="20"/>
              </w:rPr>
              <w:t>Stavba</w:t>
            </w: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Pr="004C005A" w:rsidRDefault="00D308B9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4C005A">
              <w:rPr>
                <w:sz w:val="20"/>
                <w:szCs w:val="20"/>
              </w:rPr>
              <w:t>Provedeno</w:t>
            </w: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Default="00D308B9" w:rsidP="004C005A">
            <w:pPr>
              <w:jc w:val="both"/>
              <w:rPr>
                <w:sz w:val="20"/>
                <w:szCs w:val="20"/>
              </w:rPr>
            </w:pPr>
          </w:p>
          <w:p w:rsidR="00D308B9" w:rsidRPr="004C005A" w:rsidRDefault="00D308B9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Provedeno</w:t>
            </w: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M6 – zahrada a opěrné zdi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M6.01</w:t>
            </w:r>
          </w:p>
        </w:tc>
        <w:tc>
          <w:tcPr>
            <w:tcW w:w="6237" w:type="dxa"/>
            <w:vAlign w:val="center"/>
          </w:tcPr>
          <w:p w:rsidR="006016AE" w:rsidRDefault="006016AE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Zemina v zahradách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č.8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Většina výkopku v zahradách je silně promísena s velkým procentem stavební suti, která byla v minulosti na zahradu vyvážena do prostoru zahrady. Zeminu pro další použití je nutné prokátrovat a přebrat suť. Stavební firma stanoví technologii, jakým způsobem výše uvedené práce budou provedeny.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KD č.9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S ohledem na skutečnost, že v případě většiny výkopku v zahradách se dle vyjádření odborných pracovníků NPÚ jedná o velmi kvalitní zahradnickou zeminu, která vznikla historicky pěstitelskou a hospodářskou činností v zahradách, bude tato zemina v co největší míře ponechána pro zahradní úpravy v zahradách. S ohledem na výše uvedenou skutečnost – velkou kontaminací stavební suti je nutné zeminu prokádrovat a vyčistit od stavební suti a dalších nečistot. Stavba předloží cenovou nabídku na prokátrování 1m3 zeminy. Vlastní práce budou prováděny tak, že bude stanoveno na základě provedených výkopů a skrývek stanoveno množství zeminy určené k prokátrování. Prokátrovaná zemina bude uložena na deponii v zahradě a u stavební suti oddělené od zeminy bude doloženo její uložení a skládce. Tato suť bude evidována odděleně od sutí z ostatních objektů.</w:t>
            </w:r>
          </w:p>
          <w:p w:rsidR="004C005A" w:rsidRPr="00E61A19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M6.02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15FAB">
              <w:rPr>
                <w:b/>
                <w:sz w:val="20"/>
                <w:szCs w:val="20"/>
                <w:u w:val="single"/>
              </w:rPr>
              <w:t xml:space="preserve">Cihly na koruny ohradních zdí 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č.8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navrhuje použít cihly z demontovaného režného zdiva – např. staré stodoly. Stav cihel je nutné prověřit mrazuvzdornými cykly.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KD č.9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Cihly byly odeslány k prozkoumání a výsledek bude známý cca do 14 dnů.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Pr="0037050F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M6.03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37050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Opěrná zeď v zahradě M6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č.10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Bude provedena korekce horního rohového kamene ve zdi u schodiště (cesta č. 6 – spodní schodiště).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Pr="0037050F" w:rsidRDefault="009A027F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M6.04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37050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Ohradní zeď mezi zahradami M4</w:t>
            </w:r>
            <w:r w:rsidRPr="0037050F">
              <w:rPr>
                <w:b/>
                <w:sz w:val="20"/>
                <w:szCs w:val="20"/>
                <w:u w:val="single"/>
              </w:rPr>
              <w:t xml:space="preserve"> a M6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č.10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 xml:space="preserve">Bude provedena úprava </w:t>
            </w:r>
            <w:r>
              <w:rPr>
                <w:sz w:val="20"/>
                <w:szCs w:val="20"/>
              </w:rPr>
              <w:t>povrchu zdi – část do zahrady M4</w:t>
            </w:r>
            <w:r w:rsidRPr="0037050F">
              <w:rPr>
                <w:sz w:val="20"/>
                <w:szCs w:val="20"/>
              </w:rPr>
              <w:t>, která byla opravena v rámci dříve prováděných stavebních úprav a to tak, že úprava povrchu zdi bude identická s úpravou na ní navazující opravované zdi. V omítce nebudou přiznány stávající „romantizující“ šambrány otvorů ve zdi (prohledy z</w:t>
            </w:r>
            <w:r w:rsidR="00771F6C">
              <w:rPr>
                <w:sz w:val="20"/>
                <w:szCs w:val="20"/>
              </w:rPr>
              <w:t> </w:t>
            </w:r>
            <w:r w:rsidRPr="0037050F">
              <w:rPr>
                <w:sz w:val="20"/>
                <w:szCs w:val="20"/>
              </w:rPr>
              <w:t>M</w:t>
            </w:r>
            <w:r w:rsidR="00771F6C">
              <w:rPr>
                <w:sz w:val="20"/>
                <w:szCs w:val="20"/>
              </w:rPr>
              <w:t>4</w:t>
            </w:r>
            <w:r w:rsidRPr="0037050F">
              <w:rPr>
                <w:sz w:val="20"/>
                <w:szCs w:val="20"/>
              </w:rPr>
              <w:t xml:space="preserve"> do M6) a bude provedeno vybourání stávajících cihelných parapetů a provedena jejich oprava. Úprava bude popsána formou technické zprávy a bude předložena k vydání závazného stanoviska SPP. Stavbou bude provedeno ocenění a následně předložen změnový list.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lastRenderedPageBreak/>
              <w:t>Projektant</w:t>
            </w:r>
          </w:p>
        </w:tc>
        <w:tc>
          <w:tcPr>
            <w:tcW w:w="1417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315FAB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Zahrada M6 – sklad dřeva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Pr="0037050F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SD.01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37050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050F">
              <w:rPr>
                <w:b/>
                <w:sz w:val="20"/>
                <w:szCs w:val="20"/>
                <w:u w:val="single"/>
              </w:rPr>
              <w:t>Zahrada M6 – sklad dřeva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V rámci obhlídky stavby před realizací novostavby objektu skladu dřeva bylo zjištěno vizuálně patrné poškození římsy sousedního objektu cizího vlastníka, jejíž zřícení by mohlo v budoucnu vážně poškodit plánovaný objekt nebo při výstavbě ohrozit zdraví pracovníků dodavatele stavebních prací. Investor písemně osloví vlastníka sousedního objektu s prosbou o provedení zajištění výše uvedené římsy. Pokud, tak nebude učiněno, bude vše dále řešeno se stavebním úřadem.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>KD č.12</w:t>
            </w:r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>Po dohodě investora se zástupcem majitele sousedního objektu Z. Tomanem na základě souhlasu projektanta bude provedeno odsazení skladu dřeva od budovy o dalších max.80 cm. Zástupce majitele sousedního objektu přislíbil, že neprodleně zpracují statické posouzení kce římsy a provedou její statické zabezpečení.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Investor</w:t>
            </w:r>
          </w:p>
        </w:tc>
        <w:tc>
          <w:tcPr>
            <w:tcW w:w="1417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3620EC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620EC">
              <w:rPr>
                <w:b/>
                <w:sz w:val="20"/>
                <w:szCs w:val="20"/>
                <w:u w:val="single"/>
              </w:rPr>
              <w:t>Objekt M7</w:t>
            </w:r>
            <w:r>
              <w:rPr>
                <w:b/>
                <w:sz w:val="20"/>
                <w:szCs w:val="20"/>
                <w:u w:val="single"/>
              </w:rPr>
              <w:t xml:space="preserve"> – klášterní kostel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M7.01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A965F5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Fasáda průčelí kostela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č.9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Pracovníci monitoringu NPÚ provedli dokumentaci fasády kostela do nádvoří M4.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Bude provedeno celoplošné oškrabání fasády a odstraněny předchozí nesoudržné nebo nevhodné nátěry a povrchové úpravy.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Na příštím KD budou předloženy vzorky barevnosti fasád a následně budou provedeny vzorky nátěrů na fasádách pro finální výběr barevnosti fasád.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KD č.10</w:t>
            </w:r>
          </w:p>
          <w:p w:rsidR="004C005A" w:rsidRPr="008234E9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Ze vzorníku firmy Keim byly vybrány barevné odstíny k provedení vzorků na fasádě – od každé barvy vždy více odstínů. Pro provedení budou vzorky prohlédnuty pracovníky státní památkové péče (zástupce NPÚ a MěÚ) a za účasti TDO a projektanta budou vybrány finální odstíny jednotlivých ba</w:t>
            </w:r>
            <w:r>
              <w:rPr>
                <w:color w:val="FF0000"/>
                <w:sz w:val="20"/>
                <w:szCs w:val="20"/>
              </w:rPr>
              <w:t xml:space="preserve">rev </w:t>
            </w:r>
            <w:r w:rsidRPr="006417BF">
              <w:rPr>
                <w:sz w:val="20"/>
                <w:szCs w:val="20"/>
              </w:rPr>
              <w:t xml:space="preserve">k realizaci nátěru fasády. </w:t>
            </w:r>
          </w:p>
        </w:tc>
        <w:tc>
          <w:tcPr>
            <w:tcW w:w="1134" w:type="dxa"/>
            <w:vAlign w:val="center"/>
          </w:tcPr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Stavba</w:t>
            </w: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 w:rsidRPr="006417BF">
              <w:rPr>
                <w:sz w:val="20"/>
                <w:szCs w:val="20"/>
              </w:rPr>
              <w:t>Průběžně</w:t>
            </w: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6417BF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Provedeno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Pr="0037050F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M7.02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37050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Střecha – prejzová krytina</w:t>
            </w:r>
          </w:p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č.10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37050F">
              <w:rPr>
                <w:sz w:val="20"/>
                <w:szCs w:val="20"/>
              </w:rPr>
              <w:t>Prejzová krytina na klášterním kostele bude provedena bez pojistné izolace, která je uvedená ve skladbě doporučované výrobcem krytiny. Bude provedena skladba navržená dle PD.</w:t>
            </w:r>
          </w:p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M7.03</w:t>
            </w:r>
          </w:p>
        </w:tc>
        <w:tc>
          <w:tcPr>
            <w:tcW w:w="6237" w:type="dxa"/>
            <w:vAlign w:val="center"/>
          </w:tcPr>
          <w:p w:rsidR="004C005A" w:rsidRPr="0037531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</w:t>
            </w:r>
            <w:r w:rsidRPr="0037531A">
              <w:rPr>
                <w:b/>
                <w:sz w:val="20"/>
                <w:szCs w:val="20"/>
                <w:u w:val="single"/>
              </w:rPr>
              <w:t>asády</w:t>
            </w: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KD č.11</w:t>
            </w: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Byl proveden výběr barevných odstínů ze vzorků připravených dodavatelem stavby na průčelí kostela s následujícími závěry:</w:t>
            </w:r>
          </w:p>
          <w:p w:rsidR="004C005A" w:rsidRPr="0037531A" w:rsidRDefault="004C005A" w:rsidP="004C005A">
            <w:pPr>
              <w:pStyle w:val="Odstavecseseznamem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lastRenderedPageBreak/>
              <w:t>ze vzorků šedých odstínů byl doporučen k realizaci prostřední vzorek</w:t>
            </w:r>
          </w:p>
          <w:p w:rsidR="004C005A" w:rsidRPr="0037531A" w:rsidRDefault="004C005A" w:rsidP="004C005A">
            <w:pPr>
              <w:pStyle w:val="Odstavecseseznamem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ze vzorků lomené bílé byl doporučen k realizaci prostřední vzorek</w:t>
            </w:r>
          </w:p>
          <w:p w:rsidR="004C005A" w:rsidRPr="0037531A" w:rsidRDefault="004C005A" w:rsidP="004C005A">
            <w:pPr>
              <w:pStyle w:val="Odstavecseseznamem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ze vzorků žluté barvy byl doporučen k realizaci vzorek na pravé straně</w:t>
            </w:r>
          </w:p>
          <w:p w:rsidR="004C005A" w:rsidRPr="0037531A" w:rsidRDefault="004C005A" w:rsidP="004C005A">
            <w:pPr>
              <w:pStyle w:val="Odstavecseseznamem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červenou barvu je nutné ještě upřesnit, bude proveden další vzorek</w:t>
            </w: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Barevnost – vybrané vzorky - bude ještě konzultována dne 29.8.2014 s Dr. Lavičkou.</w:t>
            </w: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Dodavatel stavby osloví restaurátora k provedení návrhu na restaurování prvků na fasádách (omítky a malby) – v souladu s platným závazným stanoviskem orgánu SPP.</w:t>
            </w: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  <w:r w:rsidRPr="00DF56BF">
              <w:rPr>
                <w:sz w:val="20"/>
                <w:szCs w:val="20"/>
              </w:rPr>
              <w:t>KD č.12</w:t>
            </w:r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  <w:r w:rsidRPr="00DF56BF">
              <w:rPr>
                <w:sz w:val="20"/>
                <w:szCs w:val="20"/>
              </w:rPr>
              <w:t xml:space="preserve">Po prohlídce vzorků barevnosti provedených dle závěrů KDč.11 Dr. Lavičkou dne 3.9.2014 bylo konstatováno, že souhlasí s navrženou barevností viz výše a doporučuje provedení prvků tektoniky v červené barvě dle prostředního vzorku označeného „B“, který je namíchán z více barevných odstínů. </w:t>
            </w:r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  <w:r w:rsidRPr="00DF56BF">
              <w:rPr>
                <w:sz w:val="20"/>
                <w:szCs w:val="20"/>
              </w:rPr>
              <w:t>Omítka v parterové části bude provedena jako zakletovaná, dokonale hladká. K dosažení dokonale hladkého povrchu v kletu je možné použít mramorovou moučku.</w:t>
            </w:r>
          </w:p>
          <w:p w:rsidR="00D43075" w:rsidRDefault="00D43075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43075" w:rsidRDefault="00D43075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č.13</w:t>
            </w:r>
          </w:p>
          <w:p w:rsidR="00D43075" w:rsidRDefault="00D43075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Okno s ocelovou konstrukcí ve štítu kostela bude zaskleno sklem CONEX tl. cca 6 mm.</w:t>
            </w:r>
          </w:p>
          <w:p w:rsidR="00D43075" w:rsidRDefault="00D43075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 oken kostela upozornil správce objektu na požadavek kontinuálního provětrávání (např. místo jedné tabulky v křídle okna síťka nebo jedna tabulka otevíratelná). Dtto i ambit.</w:t>
            </w:r>
          </w:p>
          <w:p w:rsidR="00D43075" w:rsidRDefault="00D43075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43075" w:rsidRPr="00D43075" w:rsidRDefault="00D43075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D43075">
              <w:rPr>
                <w:b/>
                <w:color w:val="FF0000"/>
                <w:sz w:val="20"/>
                <w:szCs w:val="20"/>
                <w:u w:val="single"/>
              </w:rPr>
              <w:t>Kamenické prvky na fasádě</w:t>
            </w:r>
          </w:p>
          <w:p w:rsidR="00D43075" w:rsidRDefault="00D43075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Bude provedeno restaurování dle PD, spoje mezi jednotlivými částmi kamenných článků (např. čučky, koule apod.) budou provedeny nerezovými trny. </w:t>
            </w:r>
          </w:p>
          <w:p w:rsidR="00D43075" w:rsidRDefault="00D43075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Bude provedeno dodatečné ocenění kamenických prvků, které byly skryty pod omítkovými vrstvami</w:t>
            </w:r>
            <w:r w:rsidR="004D0DB2">
              <w:rPr>
                <w:color w:val="FF0000"/>
                <w:sz w:val="20"/>
                <w:szCs w:val="20"/>
              </w:rPr>
              <w:t>,</w:t>
            </w:r>
            <w:r>
              <w:rPr>
                <w:color w:val="FF0000"/>
                <w:sz w:val="20"/>
                <w:szCs w:val="20"/>
              </w:rPr>
              <w:t xml:space="preserve"> a </w:t>
            </w:r>
            <w:r w:rsidR="004D0DB2">
              <w:rPr>
                <w:color w:val="FF0000"/>
                <w:sz w:val="20"/>
                <w:szCs w:val="20"/>
              </w:rPr>
              <w:t>bude u nich nutné též provést restaurátorskou opravu.</w:t>
            </w:r>
          </w:p>
          <w:p w:rsidR="004D0DB2" w:rsidRDefault="004D0DB2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D43075" w:rsidRPr="004D0DB2" w:rsidRDefault="004D0DB2" w:rsidP="00643595">
            <w:pPr>
              <w:shd w:val="clear" w:color="auto" w:fill="FFFF00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bookmarkStart w:id="0" w:name="_GoBack"/>
            <w:r w:rsidRPr="004D0DB2">
              <w:rPr>
                <w:b/>
                <w:color w:val="FF0000"/>
                <w:sz w:val="20"/>
                <w:szCs w:val="20"/>
                <w:u w:val="single"/>
              </w:rPr>
              <w:t>Kovářské prvky</w:t>
            </w:r>
          </w:p>
          <w:p w:rsidR="004C005A" w:rsidRDefault="004D0DB2" w:rsidP="00643595">
            <w:pPr>
              <w:pStyle w:val="Odstavecseseznamem"/>
              <w:numPr>
                <w:ilvl w:val="0"/>
                <w:numId w:val="12"/>
              </w:numPr>
              <w:shd w:val="clear" w:color="auto" w:fill="FFFF00"/>
              <w:jc w:val="both"/>
              <w:rPr>
                <w:color w:val="FF0000"/>
                <w:sz w:val="20"/>
                <w:szCs w:val="20"/>
              </w:rPr>
            </w:pPr>
            <w:r w:rsidRPr="004D0DB2">
              <w:rPr>
                <w:color w:val="FF0000"/>
                <w:sz w:val="20"/>
                <w:szCs w:val="20"/>
              </w:rPr>
              <w:t xml:space="preserve">U vrcholového kříže bude provedena restaurátorská oprava a následné pozlacení. Bude předloženo nacenění. </w:t>
            </w:r>
          </w:p>
          <w:p w:rsidR="004D0DB2" w:rsidRDefault="004D0DB2" w:rsidP="00643595">
            <w:pPr>
              <w:pStyle w:val="Odstavecseseznamem"/>
              <w:numPr>
                <w:ilvl w:val="0"/>
                <w:numId w:val="12"/>
              </w:numPr>
              <w:shd w:val="clear" w:color="auto" w:fill="FFFF0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Paprsky vybíhající z čuček – bude provedeno jejich doplnění dle nálezové zprávy PhDr. Romana Lavičky opět včetně pozlacení.</w:t>
            </w:r>
          </w:p>
          <w:p w:rsidR="004D0DB2" w:rsidRDefault="004D0DB2" w:rsidP="00643595">
            <w:pPr>
              <w:pStyle w:val="Odstavecseseznamem"/>
              <w:numPr>
                <w:ilvl w:val="0"/>
                <w:numId w:val="12"/>
              </w:numPr>
              <w:shd w:val="clear" w:color="auto" w:fill="FFFF0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Mariogram na pravé vrchní čučce (z pohledu na průčelí kostela) bude sejmut a kovářsky restaurován. Na levé čučce bude analogicky restaurován</w:t>
            </w:r>
            <w:r w:rsidR="006A3C92">
              <w:rPr>
                <w:color w:val="FF0000"/>
                <w:sz w:val="20"/>
                <w:szCs w:val="20"/>
              </w:rPr>
              <w:t xml:space="preserve"> Kristogram včetně postranních plamenců (torzo původního je uloženo u správce objektu).</w:t>
            </w:r>
          </w:p>
          <w:p w:rsidR="006A3C92" w:rsidRPr="004D0DB2" w:rsidRDefault="006A3C92" w:rsidP="00643595">
            <w:pPr>
              <w:pStyle w:val="Odstavecseseznamem"/>
              <w:numPr>
                <w:ilvl w:val="0"/>
                <w:numId w:val="12"/>
              </w:numPr>
              <w:shd w:val="clear" w:color="auto" w:fill="FFFF0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Mříže v oknech budou restaurovány na místě v souladu s PD.</w:t>
            </w:r>
          </w:p>
          <w:bookmarkEnd w:id="0"/>
          <w:p w:rsidR="00D43075" w:rsidRPr="00A90DF2" w:rsidRDefault="00D43075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EE3FB0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EE3FB0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Splněno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  <w:p w:rsidR="000E62D3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M7.04</w:t>
            </w:r>
          </w:p>
        </w:tc>
        <w:tc>
          <w:tcPr>
            <w:tcW w:w="6237" w:type="dxa"/>
            <w:vAlign w:val="center"/>
          </w:tcPr>
          <w:p w:rsidR="000E62D3" w:rsidRDefault="000E62D3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C005A" w:rsidRPr="00DF56BF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DF56BF">
              <w:rPr>
                <w:b/>
                <w:sz w:val="20"/>
                <w:szCs w:val="20"/>
                <w:u w:val="single"/>
              </w:rPr>
              <w:t>Plocha před vchodem do kostela</w:t>
            </w:r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  <w:r w:rsidRPr="00DF56BF">
              <w:rPr>
                <w:sz w:val="20"/>
                <w:szCs w:val="20"/>
              </w:rPr>
              <w:t>KD č.12</w:t>
            </w:r>
          </w:p>
          <w:p w:rsidR="004C005A" w:rsidRPr="00DF56BF" w:rsidRDefault="004C005A" w:rsidP="004C005A">
            <w:pPr>
              <w:jc w:val="both"/>
              <w:rPr>
                <w:sz w:val="20"/>
                <w:szCs w:val="20"/>
              </w:rPr>
            </w:pPr>
            <w:r w:rsidRPr="00DF56BF">
              <w:rPr>
                <w:sz w:val="20"/>
                <w:szCs w:val="20"/>
              </w:rPr>
              <w:t>V teracové ploše před vstupem budou zachovány prohlubně po stojkách přístavku. Prohlubeň bude opravena v litém teracu (odstín šedočervený) a bude snížena oproti základní ploše cca o 10-15 mm.</w:t>
            </w:r>
          </w:p>
          <w:p w:rsidR="00E86027" w:rsidRDefault="00E86027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E86027" w:rsidRDefault="00E86027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KD č.13 </w:t>
            </w:r>
          </w:p>
          <w:p w:rsidR="00E86027" w:rsidRDefault="00DF56BF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 navrhuje jiné řešení – vyjmutí plochy terasa a po provedení větracího kanálu jeho navrácení do nižší polohy.</w:t>
            </w:r>
          </w:p>
          <w:p w:rsid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E62D3" w:rsidRDefault="000E62D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E62D3" w:rsidRDefault="000E62D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E62D3" w:rsidRDefault="000E62D3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0E62D3" w:rsidRDefault="000E62D3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průběhu provádění prací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3620EC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620EC">
              <w:rPr>
                <w:b/>
                <w:sz w:val="20"/>
                <w:szCs w:val="20"/>
                <w:u w:val="single"/>
              </w:rPr>
              <w:t>Zahrada M5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M5.01</w:t>
            </w:r>
          </w:p>
        </w:tc>
        <w:tc>
          <w:tcPr>
            <w:tcW w:w="6237" w:type="dxa"/>
            <w:vAlign w:val="center"/>
          </w:tcPr>
          <w:p w:rsidR="004C005A" w:rsidRPr="00A965F5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4C005A" w:rsidRPr="00A965F5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A965F5">
              <w:rPr>
                <w:b/>
                <w:sz w:val="20"/>
                <w:szCs w:val="20"/>
                <w:u w:val="single"/>
              </w:rPr>
              <w:t>Ohradní zeď v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A965F5">
              <w:rPr>
                <w:b/>
                <w:sz w:val="20"/>
                <w:szCs w:val="20"/>
                <w:u w:val="single"/>
              </w:rPr>
              <w:t>zahradě M5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4C005A" w:rsidRPr="00A965F5" w:rsidRDefault="004C005A" w:rsidP="004C005A">
            <w:pPr>
              <w:jc w:val="both"/>
              <w:rPr>
                <w:sz w:val="20"/>
                <w:szCs w:val="20"/>
              </w:rPr>
            </w:pPr>
            <w:r w:rsidRPr="00A965F5">
              <w:rPr>
                <w:sz w:val="20"/>
                <w:szCs w:val="20"/>
              </w:rPr>
              <w:t>Při provádění opravy koruny zdi bylo zjištěno, že rozsah poškození prejzové krytiny je větší, než byl předpoklad uvedený v</w:t>
            </w:r>
            <w:r>
              <w:rPr>
                <w:sz w:val="20"/>
                <w:szCs w:val="20"/>
              </w:rPr>
              <w:t> </w:t>
            </w:r>
            <w:r w:rsidRPr="00A965F5">
              <w:rPr>
                <w:sz w:val="20"/>
                <w:szCs w:val="20"/>
              </w:rPr>
              <w:t>projektu a výkazu výměr. Dodavatel provede přesné zaměření a vyčíslení rozsahu nutných výměn prejzové krytiny.  Následně bude stavbou provedeno ocenění a následně předložen změnový list.</w:t>
            </w: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Úkol trvá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0E62D3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M5.02</w:t>
            </w: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C005A" w:rsidRPr="0037531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7531A">
              <w:rPr>
                <w:b/>
                <w:sz w:val="20"/>
                <w:szCs w:val="20"/>
                <w:u w:val="single"/>
              </w:rPr>
              <w:t>Ohradní zeď mezi zahradou M5 a pivovarem</w:t>
            </w: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KD č.11</w:t>
            </w:r>
          </w:p>
          <w:p w:rsidR="004C005A" w:rsidRPr="0037531A" w:rsidRDefault="004C005A" w:rsidP="004C005A">
            <w:pPr>
              <w:jc w:val="both"/>
              <w:rPr>
                <w:sz w:val="20"/>
                <w:szCs w:val="20"/>
              </w:rPr>
            </w:pPr>
            <w:r w:rsidRPr="0037531A">
              <w:rPr>
                <w:sz w:val="20"/>
                <w:szCs w:val="20"/>
              </w:rPr>
              <w:t>V rámci KD byla provedena zástupci investora, dodavatele stavby a dodavatele truhlářských výrobků revize vjezdových vrat umístěných v ohradní zdi. Všemi přítomnými bylo konstatováno, že vrata jsou na konci své životnosti – velká část dřeva nosné kce vrat je uhnilá a nezpůsobilá k repasi. Stavbou bude provedeno ocenění a následně předložen změnový list.</w:t>
            </w:r>
          </w:p>
          <w:p w:rsidR="004C005A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>KD č.12</w:t>
            </w:r>
          </w:p>
          <w:p w:rsidR="004C005A" w:rsidRPr="00D308B9" w:rsidRDefault="004C005A" w:rsidP="004C005A">
            <w:pPr>
              <w:jc w:val="both"/>
              <w:rPr>
                <w:sz w:val="20"/>
                <w:szCs w:val="20"/>
              </w:rPr>
            </w:pPr>
            <w:r w:rsidRPr="00D308B9">
              <w:rPr>
                <w:sz w:val="20"/>
                <w:szCs w:val="20"/>
              </w:rPr>
              <w:t>K navrhovanému řešení viz výše má GP požadavek, aby při výrobě kopie stávajících vrat bylo předloženo provedení vzorku řemeslného zpracování a dále, aby bylo zachováno a použito zpět původní kování vrat.</w:t>
            </w:r>
          </w:p>
          <w:p w:rsidR="004C005A" w:rsidRPr="00A90DF2" w:rsidRDefault="004C005A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 w:rsidRPr="00DE6AE4">
              <w:rPr>
                <w:color w:val="FF0000"/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37050F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18</w:t>
            </w:r>
            <w:r w:rsidRPr="00DE6AE4">
              <w:rPr>
                <w:color w:val="FF0000"/>
                <w:sz w:val="20"/>
                <w:szCs w:val="20"/>
              </w:rPr>
              <w:t>.9.2014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4C005A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4C005A">
              <w:rPr>
                <w:b/>
                <w:sz w:val="20"/>
                <w:szCs w:val="20"/>
                <w:u w:val="single"/>
              </w:rPr>
              <w:t>Ostatní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292"/>
          <w:jc w:val="center"/>
        </w:trPr>
        <w:tc>
          <w:tcPr>
            <w:tcW w:w="846" w:type="dxa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4C005A" w:rsidRP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 w:rsidRPr="009A4008">
              <w:rPr>
                <w:color w:val="FF0000"/>
                <w:sz w:val="20"/>
                <w:szCs w:val="20"/>
              </w:rPr>
              <w:t>KD č.13</w:t>
            </w:r>
          </w:p>
          <w:p w:rsidR="009A4008" w:rsidRDefault="009A4008" w:rsidP="004C005A">
            <w:pPr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 w:rsidRPr="009A4008">
              <w:rPr>
                <w:b/>
                <w:color w:val="FF0000"/>
                <w:sz w:val="20"/>
                <w:szCs w:val="20"/>
                <w:u w:val="single"/>
              </w:rPr>
              <w:t>Vzorkování obkladů a dlažeb</w:t>
            </w:r>
          </w:p>
          <w:p w:rsidR="009A4008" w:rsidRDefault="009A4008" w:rsidP="004C005A">
            <w:pPr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Bylo dohodnuto, že stavba zajistí a bude průběžně předkládat příštím KD počínaje vzorky obkladů a dlažeb předepsaných ke vzorkování dle PD.</w:t>
            </w:r>
          </w:p>
          <w:p w:rsidR="009A4008" w:rsidRPr="009A4008" w:rsidRDefault="009A4008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C005A" w:rsidRP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272"/>
          <w:jc w:val="center"/>
        </w:trPr>
        <w:tc>
          <w:tcPr>
            <w:tcW w:w="846" w:type="dxa"/>
            <w:shd w:val="clear" w:color="auto" w:fill="92D050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92D050"/>
            <w:vAlign w:val="center"/>
          </w:tcPr>
          <w:p w:rsidR="004C005A" w:rsidRPr="002A0096" w:rsidRDefault="004C005A" w:rsidP="004C00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2A0096">
              <w:rPr>
                <w:b/>
                <w:sz w:val="20"/>
                <w:szCs w:val="20"/>
                <w:u w:val="single"/>
              </w:rPr>
              <w:t>Práce plánované k provedení do příštího KD</w:t>
            </w:r>
          </w:p>
        </w:tc>
        <w:tc>
          <w:tcPr>
            <w:tcW w:w="1134" w:type="dxa"/>
            <w:shd w:val="clear" w:color="auto" w:fill="92D050"/>
            <w:vAlign w:val="center"/>
          </w:tcPr>
          <w:p w:rsidR="004C005A" w:rsidRPr="00A213AD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92D050"/>
            <w:vAlign w:val="center"/>
          </w:tcPr>
          <w:p w:rsidR="004C005A" w:rsidRPr="00A213AD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zasláno samostatně</w:t>
            </w:r>
          </w:p>
        </w:tc>
        <w:tc>
          <w:tcPr>
            <w:tcW w:w="1134" w:type="dxa"/>
            <w:vAlign w:val="center"/>
          </w:tcPr>
          <w:p w:rsidR="004C005A" w:rsidRPr="00A213AD" w:rsidRDefault="004C005A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7" w:type="dxa"/>
            <w:vAlign w:val="center"/>
          </w:tcPr>
          <w:p w:rsidR="004C005A" w:rsidRPr="00A213AD" w:rsidRDefault="00D308B9" w:rsidP="004C00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4C005A">
              <w:rPr>
                <w:sz w:val="20"/>
                <w:szCs w:val="20"/>
              </w:rPr>
              <w:t>.9.2014</w:t>
            </w:r>
          </w:p>
        </w:tc>
      </w:tr>
      <w:tr w:rsidR="004C005A" w:rsidRPr="00B84F47" w:rsidTr="009A027F">
        <w:trPr>
          <w:trHeight w:val="406"/>
          <w:jc w:val="center"/>
        </w:trPr>
        <w:tc>
          <w:tcPr>
            <w:tcW w:w="846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4C005A" w:rsidRDefault="004C005A" w:rsidP="004C00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34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C005A" w:rsidRDefault="004C005A" w:rsidP="004C005A">
            <w:pPr>
              <w:jc w:val="both"/>
              <w:rPr>
                <w:sz w:val="20"/>
                <w:szCs w:val="20"/>
              </w:rPr>
            </w:pPr>
          </w:p>
        </w:tc>
      </w:tr>
    </w:tbl>
    <w:p w:rsidR="002301F2" w:rsidRPr="00A213AD" w:rsidRDefault="002301F2">
      <w:pPr>
        <w:jc w:val="both"/>
        <w:rPr>
          <w:sz w:val="20"/>
          <w:szCs w:val="20"/>
        </w:rPr>
      </w:pPr>
    </w:p>
    <w:sectPr w:rsidR="002301F2" w:rsidRPr="00A213A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086" w:rsidRDefault="00860086" w:rsidP="00BD0FE0">
      <w:pPr>
        <w:spacing w:after="0" w:line="240" w:lineRule="auto"/>
      </w:pPr>
      <w:r>
        <w:separator/>
      </w:r>
    </w:p>
  </w:endnote>
  <w:endnote w:type="continuationSeparator" w:id="0">
    <w:p w:rsidR="00860086" w:rsidRDefault="00860086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500385"/>
      <w:docPartObj>
        <w:docPartGallery w:val="Page Numbers (Bottom of Page)"/>
        <w:docPartUnique/>
      </w:docPartObj>
    </w:sdtPr>
    <w:sdtEndPr/>
    <w:sdtContent>
      <w:p w:rsidR="0060384D" w:rsidRDefault="006038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595">
          <w:rPr>
            <w:noProof/>
          </w:rPr>
          <w:t>13</w:t>
        </w:r>
        <w:r>
          <w:fldChar w:fldCharType="end"/>
        </w:r>
      </w:p>
    </w:sdtContent>
  </w:sdt>
  <w:p w:rsidR="0060384D" w:rsidRDefault="006038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086" w:rsidRDefault="00860086" w:rsidP="00BD0FE0">
      <w:pPr>
        <w:spacing w:after="0" w:line="240" w:lineRule="auto"/>
      </w:pPr>
      <w:r>
        <w:separator/>
      </w:r>
    </w:p>
  </w:footnote>
  <w:footnote w:type="continuationSeparator" w:id="0">
    <w:p w:rsidR="00860086" w:rsidRDefault="00860086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84D" w:rsidRDefault="0060384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A327360" wp14:editId="3C80FC85">
          <wp:simplePos x="0" y="0"/>
          <wp:positionH relativeFrom="margin">
            <wp:align>left</wp:align>
          </wp:positionH>
          <wp:positionV relativeFrom="paragraph">
            <wp:posOffset>-172085</wp:posOffset>
          </wp:positionV>
          <wp:extent cx="5750560" cy="616585"/>
          <wp:effectExtent l="0" t="0" r="254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165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</w:p>
  <w:p w:rsidR="0060384D" w:rsidRDefault="0060384D">
    <w:pPr>
      <w:pStyle w:val="Zhlav"/>
    </w:pPr>
  </w:p>
  <w:p w:rsidR="0060384D" w:rsidRDefault="0060384D">
    <w:pPr>
      <w:pStyle w:val="Zhlav"/>
    </w:pP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462"/>
      <w:gridCol w:w="5626"/>
      <w:gridCol w:w="2552"/>
    </w:tblGrid>
    <w:tr w:rsidR="0060384D" w:rsidTr="00C4430B">
      <w:trPr>
        <w:trHeight w:val="100"/>
      </w:trPr>
      <w:tc>
        <w:tcPr>
          <w:tcW w:w="1462" w:type="dxa"/>
          <w:vAlign w:val="center"/>
        </w:tcPr>
        <w:p w:rsidR="0060384D" w:rsidRPr="002731B9" w:rsidRDefault="0060384D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60384D" w:rsidRDefault="0060384D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Revitalizace areálu klášterů Český Krumlov</w:t>
          </w:r>
        </w:p>
        <w:p w:rsidR="0060384D" w:rsidRPr="00B84F47" w:rsidRDefault="0060384D" w:rsidP="00B84F47">
          <w:pPr>
            <w:jc w:val="center"/>
            <w:rPr>
              <w:rFonts w:cs="Times New Roman"/>
              <w:b/>
              <w:sz w:val="20"/>
              <w:szCs w:val="20"/>
            </w:rPr>
          </w:pPr>
          <w:r w:rsidRPr="00B84F47">
            <w:rPr>
              <w:rFonts w:cs="Times New Roman"/>
              <w:b/>
              <w:sz w:val="20"/>
              <w:szCs w:val="20"/>
            </w:rPr>
            <w:t>oprava a rekonstrukce areálu bývalého kláštera</w:t>
          </w:r>
          <w:r>
            <w:rPr>
              <w:rFonts w:cs="Times New Roman"/>
              <w:b/>
              <w:sz w:val="20"/>
              <w:szCs w:val="20"/>
            </w:rPr>
            <w:t xml:space="preserve"> minoritů</w:t>
          </w:r>
        </w:p>
        <w:p w:rsidR="0060384D" w:rsidRPr="002731B9" w:rsidRDefault="0060384D">
          <w:pPr>
            <w:pStyle w:val="Zhlav"/>
            <w:rPr>
              <w:sz w:val="20"/>
              <w:szCs w:val="20"/>
            </w:rPr>
          </w:pPr>
        </w:p>
      </w:tc>
    </w:tr>
    <w:tr w:rsidR="0060384D" w:rsidTr="00C4430B">
      <w:trPr>
        <w:trHeight w:val="414"/>
      </w:trPr>
      <w:tc>
        <w:tcPr>
          <w:tcW w:w="1462" w:type="dxa"/>
          <w:vAlign w:val="center"/>
        </w:tcPr>
        <w:p w:rsidR="0060384D" w:rsidRPr="002731B9" w:rsidRDefault="0060384D">
          <w:pPr>
            <w:pStyle w:val="Zhlav"/>
            <w:rPr>
              <w:sz w:val="20"/>
              <w:szCs w:val="20"/>
            </w:rPr>
          </w:pPr>
          <w:r w:rsidRPr="002731B9">
            <w:rPr>
              <w:sz w:val="20"/>
              <w:szCs w:val="20"/>
            </w:rPr>
            <w:t>Předmět</w:t>
          </w:r>
        </w:p>
      </w:tc>
      <w:tc>
        <w:tcPr>
          <w:tcW w:w="5626" w:type="dxa"/>
          <w:vAlign w:val="center"/>
        </w:tcPr>
        <w:p w:rsidR="0060384D" w:rsidRPr="002731B9" w:rsidRDefault="0060384D" w:rsidP="00B84F47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Zápis z kontrolního dne stavby</w:t>
          </w:r>
        </w:p>
      </w:tc>
      <w:tc>
        <w:tcPr>
          <w:tcW w:w="2552" w:type="dxa"/>
          <w:vAlign w:val="center"/>
        </w:tcPr>
        <w:p w:rsidR="0060384D" w:rsidRPr="002731B9" w:rsidRDefault="0060384D" w:rsidP="007E6FFC">
          <w:pPr>
            <w:pStyle w:val="Zhlav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Dne 18. 9. 2014</w:t>
          </w:r>
        </w:p>
      </w:tc>
    </w:tr>
  </w:tbl>
  <w:p w:rsidR="0060384D" w:rsidRDefault="0060384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170B2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A507F"/>
    <w:multiLevelType w:val="hybridMultilevel"/>
    <w:tmpl w:val="CE7298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5584A"/>
    <w:multiLevelType w:val="hybridMultilevel"/>
    <w:tmpl w:val="8E70C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50B0"/>
    <w:multiLevelType w:val="hybridMultilevel"/>
    <w:tmpl w:val="78F00362"/>
    <w:lvl w:ilvl="0" w:tplc="B972F2BA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C20E0"/>
    <w:multiLevelType w:val="hybridMultilevel"/>
    <w:tmpl w:val="79089B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F5761"/>
    <w:multiLevelType w:val="hybridMultilevel"/>
    <w:tmpl w:val="6B900F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F06CD3"/>
    <w:multiLevelType w:val="hybridMultilevel"/>
    <w:tmpl w:val="2F5406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24045D"/>
    <w:multiLevelType w:val="hybridMultilevel"/>
    <w:tmpl w:val="96B2B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5F"/>
    <w:rsid w:val="0000402D"/>
    <w:rsid w:val="0000416B"/>
    <w:rsid w:val="00010775"/>
    <w:rsid w:val="0003171E"/>
    <w:rsid w:val="0003421A"/>
    <w:rsid w:val="00035223"/>
    <w:rsid w:val="0003651C"/>
    <w:rsid w:val="000642BB"/>
    <w:rsid w:val="000652CC"/>
    <w:rsid w:val="000752FB"/>
    <w:rsid w:val="000769FE"/>
    <w:rsid w:val="00080563"/>
    <w:rsid w:val="00084C4B"/>
    <w:rsid w:val="00094F06"/>
    <w:rsid w:val="000A5D52"/>
    <w:rsid w:val="000A78A4"/>
    <w:rsid w:val="000B168E"/>
    <w:rsid w:val="000B4416"/>
    <w:rsid w:val="000C2066"/>
    <w:rsid w:val="000C66A2"/>
    <w:rsid w:val="000D2A55"/>
    <w:rsid w:val="000E4533"/>
    <w:rsid w:val="000E62D3"/>
    <w:rsid w:val="000F2ADB"/>
    <w:rsid w:val="0012451E"/>
    <w:rsid w:val="00125BF0"/>
    <w:rsid w:val="00136BF7"/>
    <w:rsid w:val="00157034"/>
    <w:rsid w:val="00181A90"/>
    <w:rsid w:val="00196651"/>
    <w:rsid w:val="001D5314"/>
    <w:rsid w:val="001E3728"/>
    <w:rsid w:val="001F4041"/>
    <w:rsid w:val="001F566A"/>
    <w:rsid w:val="001F68BD"/>
    <w:rsid w:val="00227583"/>
    <w:rsid w:val="002301F2"/>
    <w:rsid w:val="002422A0"/>
    <w:rsid w:val="00247EB5"/>
    <w:rsid w:val="00252849"/>
    <w:rsid w:val="00254BCE"/>
    <w:rsid w:val="00255132"/>
    <w:rsid w:val="00256A93"/>
    <w:rsid w:val="00256E29"/>
    <w:rsid w:val="002731B9"/>
    <w:rsid w:val="002A0096"/>
    <w:rsid w:val="002B3FBD"/>
    <w:rsid w:val="002B40C1"/>
    <w:rsid w:val="002C2A8A"/>
    <w:rsid w:val="002C553D"/>
    <w:rsid w:val="002D19BF"/>
    <w:rsid w:val="002E7487"/>
    <w:rsid w:val="003035D7"/>
    <w:rsid w:val="00303819"/>
    <w:rsid w:val="00315FAB"/>
    <w:rsid w:val="00340F21"/>
    <w:rsid w:val="00360020"/>
    <w:rsid w:val="003620EC"/>
    <w:rsid w:val="0037050F"/>
    <w:rsid w:val="00372F83"/>
    <w:rsid w:val="0037531A"/>
    <w:rsid w:val="00375F07"/>
    <w:rsid w:val="00384FAE"/>
    <w:rsid w:val="00395FFA"/>
    <w:rsid w:val="003964D5"/>
    <w:rsid w:val="003A257C"/>
    <w:rsid w:val="003A286C"/>
    <w:rsid w:val="003A67BF"/>
    <w:rsid w:val="003D316C"/>
    <w:rsid w:val="003D3613"/>
    <w:rsid w:val="003D68DD"/>
    <w:rsid w:val="00402A44"/>
    <w:rsid w:val="00402EAC"/>
    <w:rsid w:val="004056C3"/>
    <w:rsid w:val="0041039F"/>
    <w:rsid w:val="004248EA"/>
    <w:rsid w:val="0044553C"/>
    <w:rsid w:val="00450D5C"/>
    <w:rsid w:val="00456EB6"/>
    <w:rsid w:val="00457B49"/>
    <w:rsid w:val="004641BD"/>
    <w:rsid w:val="00472DB3"/>
    <w:rsid w:val="00480B9E"/>
    <w:rsid w:val="004A07EA"/>
    <w:rsid w:val="004B51BC"/>
    <w:rsid w:val="004C005A"/>
    <w:rsid w:val="004D0DB2"/>
    <w:rsid w:val="004D1AEF"/>
    <w:rsid w:val="004D3E19"/>
    <w:rsid w:val="004F2088"/>
    <w:rsid w:val="00500D57"/>
    <w:rsid w:val="00501576"/>
    <w:rsid w:val="005017CF"/>
    <w:rsid w:val="00543B0F"/>
    <w:rsid w:val="0057270B"/>
    <w:rsid w:val="005C5B37"/>
    <w:rsid w:val="005D6999"/>
    <w:rsid w:val="005E2A4D"/>
    <w:rsid w:val="005E5AB3"/>
    <w:rsid w:val="005F3C6A"/>
    <w:rsid w:val="005F5539"/>
    <w:rsid w:val="006016AE"/>
    <w:rsid w:val="00602F5B"/>
    <w:rsid w:val="0060384D"/>
    <w:rsid w:val="006065A1"/>
    <w:rsid w:val="006073CD"/>
    <w:rsid w:val="00625870"/>
    <w:rsid w:val="00640AA6"/>
    <w:rsid w:val="006417BF"/>
    <w:rsid w:val="00643595"/>
    <w:rsid w:val="0065244A"/>
    <w:rsid w:val="00686A9C"/>
    <w:rsid w:val="00694673"/>
    <w:rsid w:val="006A3788"/>
    <w:rsid w:val="006A3C92"/>
    <w:rsid w:val="006A66EF"/>
    <w:rsid w:val="006A7119"/>
    <w:rsid w:val="006A7A44"/>
    <w:rsid w:val="006B0C4C"/>
    <w:rsid w:val="006D0D37"/>
    <w:rsid w:val="006D166F"/>
    <w:rsid w:val="006E3C30"/>
    <w:rsid w:val="006E678E"/>
    <w:rsid w:val="006F1AFE"/>
    <w:rsid w:val="006F1DD5"/>
    <w:rsid w:val="006F4D04"/>
    <w:rsid w:val="006F6250"/>
    <w:rsid w:val="0073349C"/>
    <w:rsid w:val="007436A4"/>
    <w:rsid w:val="007548C1"/>
    <w:rsid w:val="0075619F"/>
    <w:rsid w:val="00771F6C"/>
    <w:rsid w:val="0079234D"/>
    <w:rsid w:val="007B419F"/>
    <w:rsid w:val="007C31F4"/>
    <w:rsid w:val="007C4E1E"/>
    <w:rsid w:val="007D7790"/>
    <w:rsid w:val="007E6FFC"/>
    <w:rsid w:val="007F0C8E"/>
    <w:rsid w:val="00801777"/>
    <w:rsid w:val="008038A7"/>
    <w:rsid w:val="008234E9"/>
    <w:rsid w:val="0085354E"/>
    <w:rsid w:val="00860086"/>
    <w:rsid w:val="008768EE"/>
    <w:rsid w:val="0087710B"/>
    <w:rsid w:val="00893D00"/>
    <w:rsid w:val="008B7265"/>
    <w:rsid w:val="008C2813"/>
    <w:rsid w:val="008D0DFD"/>
    <w:rsid w:val="008D22F5"/>
    <w:rsid w:val="008E0309"/>
    <w:rsid w:val="008F53B3"/>
    <w:rsid w:val="00911980"/>
    <w:rsid w:val="009168D2"/>
    <w:rsid w:val="00964975"/>
    <w:rsid w:val="009706D2"/>
    <w:rsid w:val="009758F2"/>
    <w:rsid w:val="00977303"/>
    <w:rsid w:val="009A027F"/>
    <w:rsid w:val="009A0EAE"/>
    <w:rsid w:val="009A4008"/>
    <w:rsid w:val="009A5D68"/>
    <w:rsid w:val="009B19B1"/>
    <w:rsid w:val="009E7EF0"/>
    <w:rsid w:val="00A015F6"/>
    <w:rsid w:val="00A12941"/>
    <w:rsid w:val="00A213AD"/>
    <w:rsid w:val="00A3780A"/>
    <w:rsid w:val="00A4185F"/>
    <w:rsid w:val="00A61DD4"/>
    <w:rsid w:val="00A62CEE"/>
    <w:rsid w:val="00A67E58"/>
    <w:rsid w:val="00A84FFD"/>
    <w:rsid w:val="00A90DF2"/>
    <w:rsid w:val="00A965F5"/>
    <w:rsid w:val="00AA2FAE"/>
    <w:rsid w:val="00AA4F06"/>
    <w:rsid w:val="00AA7506"/>
    <w:rsid w:val="00AB2485"/>
    <w:rsid w:val="00AC067C"/>
    <w:rsid w:val="00AC2EC2"/>
    <w:rsid w:val="00B36227"/>
    <w:rsid w:val="00B63B69"/>
    <w:rsid w:val="00B66DED"/>
    <w:rsid w:val="00B70EA9"/>
    <w:rsid w:val="00B84F47"/>
    <w:rsid w:val="00B90B7C"/>
    <w:rsid w:val="00B93256"/>
    <w:rsid w:val="00B958AD"/>
    <w:rsid w:val="00BA012A"/>
    <w:rsid w:val="00BB0FF1"/>
    <w:rsid w:val="00BB1BB6"/>
    <w:rsid w:val="00BC6369"/>
    <w:rsid w:val="00BD0FE0"/>
    <w:rsid w:val="00BD6C0A"/>
    <w:rsid w:val="00BD732A"/>
    <w:rsid w:val="00BE1EB2"/>
    <w:rsid w:val="00BF006E"/>
    <w:rsid w:val="00BF25B8"/>
    <w:rsid w:val="00BF2BDF"/>
    <w:rsid w:val="00C275CD"/>
    <w:rsid w:val="00C40ED3"/>
    <w:rsid w:val="00C4430B"/>
    <w:rsid w:val="00C708F7"/>
    <w:rsid w:val="00C91047"/>
    <w:rsid w:val="00CB7A16"/>
    <w:rsid w:val="00CD4993"/>
    <w:rsid w:val="00CD7243"/>
    <w:rsid w:val="00CF19EF"/>
    <w:rsid w:val="00D1522F"/>
    <w:rsid w:val="00D170EB"/>
    <w:rsid w:val="00D20932"/>
    <w:rsid w:val="00D27E77"/>
    <w:rsid w:val="00D308B9"/>
    <w:rsid w:val="00D3325B"/>
    <w:rsid w:val="00D43075"/>
    <w:rsid w:val="00D65C25"/>
    <w:rsid w:val="00D91DF4"/>
    <w:rsid w:val="00DB0F7C"/>
    <w:rsid w:val="00DB13CC"/>
    <w:rsid w:val="00DD410E"/>
    <w:rsid w:val="00DE19C5"/>
    <w:rsid w:val="00DE25DA"/>
    <w:rsid w:val="00DE3B0B"/>
    <w:rsid w:val="00DE5954"/>
    <w:rsid w:val="00DE6AE4"/>
    <w:rsid w:val="00DF56BF"/>
    <w:rsid w:val="00E006A3"/>
    <w:rsid w:val="00E0586D"/>
    <w:rsid w:val="00E10302"/>
    <w:rsid w:val="00E169BE"/>
    <w:rsid w:val="00E32027"/>
    <w:rsid w:val="00E34C49"/>
    <w:rsid w:val="00E40011"/>
    <w:rsid w:val="00E45612"/>
    <w:rsid w:val="00E53C95"/>
    <w:rsid w:val="00E5701D"/>
    <w:rsid w:val="00E600E0"/>
    <w:rsid w:val="00E61A19"/>
    <w:rsid w:val="00E81D56"/>
    <w:rsid w:val="00E86027"/>
    <w:rsid w:val="00E90C41"/>
    <w:rsid w:val="00EB0F06"/>
    <w:rsid w:val="00ED1630"/>
    <w:rsid w:val="00ED1B4D"/>
    <w:rsid w:val="00ED2385"/>
    <w:rsid w:val="00ED7BEE"/>
    <w:rsid w:val="00EE3FB0"/>
    <w:rsid w:val="00EF5DED"/>
    <w:rsid w:val="00F015C8"/>
    <w:rsid w:val="00F168B3"/>
    <w:rsid w:val="00F24FD6"/>
    <w:rsid w:val="00F422CC"/>
    <w:rsid w:val="00F5182D"/>
    <w:rsid w:val="00F53B58"/>
    <w:rsid w:val="00F54A86"/>
    <w:rsid w:val="00F606F2"/>
    <w:rsid w:val="00F953F3"/>
    <w:rsid w:val="00F96C60"/>
    <w:rsid w:val="00FD0B3D"/>
    <w:rsid w:val="00FD22F5"/>
    <w:rsid w:val="00FD7AB1"/>
    <w:rsid w:val="00FE644D"/>
    <w:rsid w:val="00FF0A5C"/>
    <w:rsid w:val="00FF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E948B2-6129-453D-83A5-F69EF7D6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3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D0FE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0FE0"/>
  </w:style>
  <w:style w:type="paragraph" w:styleId="Zpat">
    <w:name w:val="footer"/>
    <w:basedOn w:val="Normln"/>
    <w:link w:val="ZpatChar"/>
    <w:uiPriority w:val="99"/>
    <w:unhideWhenUsed/>
    <w:rsid w:val="00BD0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FE0"/>
  </w:style>
  <w:style w:type="paragraph" w:styleId="Odstavecseseznamem">
    <w:name w:val="List Paragraph"/>
    <w:basedOn w:val="Normln"/>
    <w:uiPriority w:val="99"/>
    <w:qFormat/>
    <w:rsid w:val="00FF0A5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7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7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ovakpave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sacek@seznam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3C5EB-DED9-4141-86EF-CF5954E6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3943</Words>
  <Characters>23264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2014-05-07T15:02:00Z</cp:lastPrinted>
  <dcterms:created xsi:type="dcterms:W3CDTF">2014-09-18T08:42:00Z</dcterms:created>
  <dcterms:modified xsi:type="dcterms:W3CDTF">2014-12-19T04:46:00Z</dcterms:modified>
</cp:coreProperties>
</file>