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3AF" w14:textId="0B16990A" w:rsidR="00B84740" w:rsidRPr="00A3564E" w:rsidRDefault="00B84740" w:rsidP="00A3564E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</w:rPr>
      </w:pPr>
      <w:r w:rsidRPr="00A3564E">
        <w:rPr>
          <w:rFonts w:ascii="Book Antiqua" w:hAnsi="Book Antiqua"/>
          <w:b/>
          <w:bCs/>
          <w:sz w:val="28"/>
          <w:szCs w:val="32"/>
        </w:rPr>
        <w:t>Č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ESTNÉ PROHLÁŠENÍ</w:t>
      </w:r>
      <w:r w:rsidR="001A5076" w:rsidRPr="00A3564E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O</w:t>
      </w:r>
      <w:r w:rsidR="00C213A0" w:rsidRPr="00A3564E">
        <w:rPr>
          <w:rFonts w:ascii="Book Antiqua" w:hAnsi="Book Antiqua"/>
          <w:b/>
          <w:bCs/>
          <w:sz w:val="28"/>
          <w:szCs w:val="32"/>
        </w:rPr>
        <w:t xml:space="preserve"> </w:t>
      </w:r>
      <w:r w:rsidR="00C2744B" w:rsidRPr="00A3564E">
        <w:rPr>
          <w:rFonts w:ascii="Book Antiqua" w:hAnsi="Book Antiqua"/>
          <w:b/>
          <w:bCs/>
          <w:sz w:val="28"/>
          <w:szCs w:val="32"/>
        </w:rPr>
        <w:t>S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PLNĚNÍ</w:t>
      </w:r>
      <w:r w:rsidR="00C213A0" w:rsidRPr="00A3564E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 xml:space="preserve">SOCIÁLNÍCH </w:t>
      </w:r>
      <w:r w:rsidR="00DD645D" w:rsidRPr="00A3564E">
        <w:rPr>
          <w:rFonts w:ascii="Book Antiqua" w:hAnsi="Book Antiqua"/>
          <w:b/>
          <w:bCs/>
          <w:sz w:val="28"/>
          <w:szCs w:val="32"/>
        </w:rPr>
        <w:t>A</w:t>
      </w:r>
      <w:r w:rsidR="0035705F" w:rsidRPr="00A3564E">
        <w:rPr>
          <w:rFonts w:ascii="Book Antiqua" w:hAnsi="Book Antiqua"/>
          <w:b/>
          <w:bCs/>
          <w:sz w:val="28"/>
          <w:szCs w:val="32"/>
        </w:rPr>
        <w:t> </w:t>
      </w:r>
      <w:r w:rsidR="00DD645D" w:rsidRPr="00A3564E">
        <w:rPr>
          <w:rFonts w:ascii="Book Antiqua" w:hAnsi="Book Antiqua"/>
          <w:b/>
          <w:bCs/>
          <w:sz w:val="28"/>
          <w:szCs w:val="32"/>
        </w:rPr>
        <w:t xml:space="preserve">ENVIRONMENTÁLNÍCH </w:t>
      </w:r>
      <w:r w:rsidR="002476CF" w:rsidRPr="00A3564E">
        <w:rPr>
          <w:rFonts w:ascii="Book Antiqua" w:hAnsi="Book Antiqua"/>
          <w:b/>
          <w:bCs/>
          <w:sz w:val="28"/>
          <w:szCs w:val="32"/>
        </w:rPr>
        <w:t>ASPEKTŮ</w:t>
      </w:r>
    </w:p>
    <w:p w14:paraId="5861C8BE" w14:textId="33896AC3" w:rsidR="00C2744B" w:rsidRPr="00A3564E" w:rsidRDefault="00C2744B" w:rsidP="00A3564E">
      <w:pPr>
        <w:spacing w:before="0" w:after="0"/>
        <w:jc w:val="center"/>
        <w:rPr>
          <w:rFonts w:ascii="Book Antiqua" w:hAnsi="Book Antiqua"/>
          <w:bCs/>
          <w:iCs/>
          <w:sz w:val="20"/>
          <w:lang w:eastAsia="cs-CZ"/>
        </w:rPr>
      </w:pPr>
      <w:r w:rsidRPr="00A3564E">
        <w:rPr>
          <w:rFonts w:ascii="Book Antiqua" w:hAnsi="Book Antiqua"/>
          <w:sz w:val="20"/>
        </w:rPr>
        <w:t>pr</w:t>
      </w:r>
      <w:r w:rsidRPr="00A3564E">
        <w:rPr>
          <w:rFonts w:ascii="Book Antiqua" w:hAnsi="Book Antiqua"/>
          <w:bCs/>
          <w:iCs/>
          <w:sz w:val="20"/>
        </w:rPr>
        <w:t xml:space="preserve">o veřejnou zakázku na stavební práce zadávanou </w:t>
      </w:r>
      <w:r w:rsidR="004C0507" w:rsidRPr="00A3564E">
        <w:rPr>
          <w:rFonts w:ascii="Book Antiqua" w:hAnsi="Book Antiqua"/>
          <w:bCs/>
          <w:iCs/>
          <w:sz w:val="20"/>
        </w:rPr>
        <w:t>v souladu s ust. § 5</w:t>
      </w:r>
      <w:r w:rsidR="00A3564E" w:rsidRPr="00A3564E">
        <w:rPr>
          <w:rFonts w:ascii="Book Antiqua" w:hAnsi="Book Antiqua"/>
          <w:bCs/>
          <w:iCs/>
          <w:sz w:val="20"/>
        </w:rPr>
        <w:t>3</w:t>
      </w:r>
      <w:r w:rsidR="004C0507" w:rsidRPr="00A3564E">
        <w:rPr>
          <w:rFonts w:ascii="Book Antiqua" w:hAnsi="Book Antiqua"/>
          <w:bCs/>
          <w:iCs/>
          <w:sz w:val="20"/>
        </w:rPr>
        <w:t xml:space="preserve"> zákona č. 134/2016 Sb., o zadávání veřejných zakázek</w:t>
      </w:r>
      <w:r w:rsidRPr="00A3564E">
        <w:rPr>
          <w:rFonts w:ascii="Book Antiqua" w:hAnsi="Book Antiqua"/>
          <w:bCs/>
          <w:iCs/>
          <w:sz w:val="20"/>
        </w:rPr>
        <w:t xml:space="preserve"> (dále jen „zákon“), </w:t>
      </w:r>
    </w:p>
    <w:p w14:paraId="3A5F0BB9" w14:textId="77777777" w:rsidR="00C2744B" w:rsidRDefault="00C2744B" w:rsidP="00A3564E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  <w:r w:rsidRPr="00A3564E">
        <w:rPr>
          <w:rFonts w:ascii="Book Antiqua" w:hAnsi="Book Antiqua"/>
          <w:bCs/>
          <w:iCs/>
          <w:sz w:val="20"/>
        </w:rPr>
        <w:t xml:space="preserve">s názvem: </w:t>
      </w:r>
    </w:p>
    <w:p w14:paraId="32266549" w14:textId="77777777" w:rsidR="00362508" w:rsidRPr="00A3564E" w:rsidRDefault="00362508" w:rsidP="00A3564E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</w:p>
    <w:p w14:paraId="0E3605F3" w14:textId="627E9903" w:rsidR="00957DAE" w:rsidRPr="00A3564E" w:rsidRDefault="00C2744B" w:rsidP="00A3564E">
      <w:pPr>
        <w:spacing w:before="0" w:after="0"/>
        <w:jc w:val="center"/>
        <w:rPr>
          <w:rFonts w:ascii="Book Antiqua" w:hAnsi="Book Antiqua"/>
          <w:b/>
          <w:sz w:val="28"/>
          <w:szCs w:val="28"/>
        </w:rPr>
      </w:pPr>
      <w:r w:rsidRPr="00A3564E">
        <w:rPr>
          <w:rFonts w:ascii="Book Antiqua" w:hAnsi="Book Antiqua"/>
          <w:b/>
          <w:sz w:val="28"/>
          <w:szCs w:val="28"/>
        </w:rPr>
        <w:t xml:space="preserve"> </w:t>
      </w:r>
      <w:bookmarkStart w:id="0" w:name="_Hlk193220355"/>
      <w:r w:rsidR="00A3564E" w:rsidRPr="00A3564E">
        <w:rPr>
          <w:rFonts w:ascii="Book Antiqua" w:hAnsi="Book Antiqua" w:cs="Arial"/>
          <w:b/>
          <w:bCs/>
          <w:sz w:val="28"/>
          <w:szCs w:val="28"/>
        </w:rPr>
        <w:t xml:space="preserve">Obnova vodovodu DN 350 Nemocniční </w:t>
      </w:r>
      <w:r w:rsidR="00D05037">
        <w:rPr>
          <w:rFonts w:ascii="Book Antiqua" w:hAnsi="Book Antiqua" w:cs="Arial"/>
          <w:b/>
          <w:bCs/>
          <w:sz w:val="28"/>
          <w:szCs w:val="28"/>
        </w:rPr>
        <w:t>–</w:t>
      </w:r>
      <w:r w:rsidR="00A3564E" w:rsidRPr="00A3564E">
        <w:rPr>
          <w:rFonts w:ascii="Book Antiqua" w:hAnsi="Book Antiqua" w:cs="Arial"/>
          <w:b/>
          <w:bCs/>
          <w:sz w:val="28"/>
          <w:szCs w:val="28"/>
        </w:rPr>
        <w:t xml:space="preserve"> Kaplická</w:t>
      </w:r>
      <w:bookmarkEnd w:id="0"/>
      <w:r w:rsidR="00D05037">
        <w:rPr>
          <w:rFonts w:ascii="Book Antiqua" w:hAnsi="Book Antiqua" w:cs="Arial"/>
          <w:b/>
          <w:bCs/>
          <w:sz w:val="28"/>
          <w:szCs w:val="28"/>
        </w:rPr>
        <w:t xml:space="preserve"> </w:t>
      </w:r>
      <w:r w:rsidR="00D05037" w:rsidRPr="00D05037">
        <w:rPr>
          <w:rFonts w:ascii="Book Antiqua" w:hAnsi="Book Antiqua" w:cs="Arial"/>
          <w:b/>
          <w:bCs/>
          <w:sz w:val="28"/>
          <w:szCs w:val="28"/>
        </w:rPr>
        <w:t>(VZCK 037/2025)</w:t>
      </w:r>
    </w:p>
    <w:p w14:paraId="431F65D9" w14:textId="77777777" w:rsidR="00957DAE" w:rsidRPr="00A3564E" w:rsidRDefault="00957DAE" w:rsidP="00A3564E">
      <w:pPr>
        <w:spacing w:before="0" w:after="0"/>
        <w:rPr>
          <w:rFonts w:ascii="Book Antiqua" w:hAnsi="Book Antiqua" w:cs="Calibri"/>
          <w:b/>
          <w:sz w:val="20"/>
        </w:rPr>
      </w:pPr>
    </w:p>
    <w:p w14:paraId="524CCBD8" w14:textId="77777777" w:rsidR="00AF2D73" w:rsidRPr="00A3564E" w:rsidRDefault="00AF2D73" w:rsidP="00A3564E">
      <w:pPr>
        <w:spacing w:before="0" w:after="0"/>
        <w:rPr>
          <w:rFonts w:ascii="Book Antiqua" w:hAnsi="Book Antiqua" w:cs="Cambria"/>
          <w:b/>
          <w:bCs/>
          <w:snapToGrid w:val="0"/>
          <w:szCs w:val="22"/>
          <w:u w:val="single"/>
        </w:rPr>
      </w:pPr>
      <w:r w:rsidRPr="00A3564E">
        <w:rPr>
          <w:rFonts w:ascii="Book Antiqua" w:hAnsi="Book Antiqu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Pr="00A3564E" w:rsidRDefault="00AF2D73" w:rsidP="00A3564E">
      <w:pPr>
        <w:spacing w:before="0" w:after="0"/>
        <w:rPr>
          <w:rFonts w:ascii="Book Antiqua" w:hAnsi="Book Antiqua" w:cstheme="majorHAnsi"/>
        </w:rPr>
      </w:pPr>
      <w:r w:rsidRPr="00A3564E">
        <w:rPr>
          <w:rFonts w:ascii="Book Antiqua" w:hAnsi="Book Antiqua" w:cs="Cambria"/>
          <w:b/>
          <w:bCs/>
          <w:snapToGrid w:val="0"/>
          <w:szCs w:val="22"/>
        </w:rPr>
        <w:t>Obchodní firma:</w:t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mbria"/>
          <w:b/>
          <w:bCs/>
          <w:snapToGrid w:val="0"/>
          <w:szCs w:val="22"/>
        </w:rPr>
        <w:br/>
        <w:t xml:space="preserve">Sídlo: </w:t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mbria"/>
          <w:b/>
          <w:bCs/>
          <w:snapToGrid w:val="0"/>
          <w:szCs w:val="22"/>
        </w:rPr>
        <w:br/>
        <w:t xml:space="preserve">IČO: </w:t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</w:rPr>
        <w:tab/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A3564E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A3564E" w:rsidRDefault="00A6378A" w:rsidP="00A3564E">
            <w:p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Samotný předmět veřejné zakázky a jeho následná realizace je veden od samotného počátku v souladu s</w:t>
            </w:r>
            <w:r w:rsidR="00300A4B" w:rsidRPr="00A3564E">
              <w:rPr>
                <w:rFonts w:ascii="Book Antiqua" w:eastAsia="Calibri" w:hAnsi="Book Antiqua"/>
              </w:rPr>
              <w:t>e sociálními a</w:t>
            </w:r>
            <w:r w:rsidRPr="00A3564E">
              <w:rPr>
                <w:rFonts w:ascii="Book Antiqua" w:eastAsia="Calibri" w:hAnsi="Book Antiqua"/>
              </w:rPr>
              <w:t xml:space="preserve"> environmentálními kritérii a cíli. Nabídka </w:t>
            </w:r>
            <w:r w:rsidR="00AF2D73" w:rsidRPr="00A3564E">
              <w:rPr>
                <w:rFonts w:ascii="Book Antiqua" w:eastAsia="Calibri" w:hAnsi="Book Antiqua"/>
              </w:rPr>
              <w:t>účastníka</w:t>
            </w:r>
            <w:r w:rsidRPr="00A3564E">
              <w:rPr>
                <w:rFonts w:ascii="Book Antiqua" w:eastAsia="Calibri" w:hAnsi="Book Antiqua"/>
              </w:rPr>
              <w:t xml:space="preserve"> však musí splňovat tato </w:t>
            </w:r>
            <w:r w:rsidR="008F160E" w:rsidRPr="00A3564E">
              <w:rPr>
                <w:rFonts w:ascii="Book Antiqua" w:eastAsia="Calibri" w:hAnsi="Book Antiqua"/>
              </w:rPr>
              <w:t xml:space="preserve">níže uvedená </w:t>
            </w:r>
            <w:r w:rsidRPr="00A3564E">
              <w:rPr>
                <w:rFonts w:ascii="Book Antiqua" w:eastAsia="Calibri" w:hAnsi="Book Antiqua"/>
              </w:rPr>
              <w:t>zákonná mini</w:t>
            </w:r>
            <w:r w:rsidR="00A92835" w:rsidRPr="00A3564E">
              <w:rPr>
                <w:rFonts w:ascii="Book Antiqua" w:eastAsia="Calibri" w:hAnsi="Book Antiqua"/>
              </w:rPr>
              <w:t>ma.</w:t>
            </w:r>
          </w:p>
          <w:p w14:paraId="475A7665" w14:textId="31731DA5" w:rsidR="00A92835" w:rsidRPr="00A3564E" w:rsidRDefault="00A92835" w:rsidP="00A3564E">
            <w:p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Jako uchazeč o veřejnou zakázku čestně prohlašuji, že</w:t>
            </w:r>
          </w:p>
          <w:p w14:paraId="747CEB16" w14:textId="77777777" w:rsidR="00A92835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 xml:space="preserve">zajistím dodržování předpisů BOZP; </w:t>
            </w:r>
          </w:p>
          <w:p w14:paraId="088AB955" w14:textId="6CEECFB7" w:rsidR="00D04F9B" w:rsidRPr="00A3564E" w:rsidRDefault="00A92835" w:rsidP="00A3564E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zajistím zatřídění následně specifikovaných stavebních a demoličních odpadů je provedeno podle Katalogu odpad</w:t>
            </w:r>
            <w:r w:rsidR="00700BB4" w:rsidRPr="00A3564E">
              <w:rPr>
                <w:rFonts w:ascii="Book Antiqua" w:eastAsia="Calibri" w:hAnsi="Book Antiqua"/>
              </w:rPr>
              <w:t>ů, přílohy č. 1 k vyhlášce č. 8/2021</w:t>
            </w:r>
            <w:r w:rsidRPr="00A3564E">
              <w:rPr>
                <w:rFonts w:ascii="Book Antiqua" w:eastAsia="Calibri" w:hAnsi="Book Antiqua"/>
              </w:rPr>
              <w:t xml:space="preserve"> Sb. Při nakládání s odpady, které vzniknou v důsledku stavebních prací, se bude řídit z</w:t>
            </w:r>
            <w:r w:rsidR="00300A4B" w:rsidRPr="00A3564E">
              <w:rPr>
                <w:rFonts w:ascii="Book Antiqua" w:eastAsia="Calibri" w:hAnsi="Book Antiqua"/>
              </w:rPr>
              <w:t xml:space="preserve">ákonem </w:t>
            </w:r>
            <w:r w:rsidR="00700BB4" w:rsidRPr="00A3564E">
              <w:rPr>
                <w:rFonts w:ascii="Book Antiqua" w:eastAsia="Calibri" w:hAnsi="Book Antiqua"/>
              </w:rPr>
              <w:t>č. 541/2020</w:t>
            </w:r>
            <w:r w:rsidRPr="00A3564E">
              <w:rPr>
                <w:rFonts w:ascii="Book Antiqua" w:eastAsia="Calibri" w:hAnsi="Book Antiqua"/>
              </w:rPr>
              <w:t xml:space="preserve"> Sb.,</w:t>
            </w:r>
            <w:r w:rsidR="00700BB4" w:rsidRPr="00A3564E">
              <w:rPr>
                <w:rFonts w:ascii="Book Antiqua" w:eastAsia="Calibri" w:hAnsi="Book Antiqua"/>
              </w:rPr>
              <w:t xml:space="preserve"> o odpadech, </w:t>
            </w:r>
            <w:r w:rsidRPr="00A3564E">
              <w:rPr>
                <w:rFonts w:ascii="Book Antiqua" w:eastAsia="Calibri" w:hAnsi="Book Antiqua"/>
              </w:rPr>
              <w:t>vyhláškou</w:t>
            </w:r>
            <w:r w:rsidR="00300A4B" w:rsidRPr="00A3564E">
              <w:rPr>
                <w:rFonts w:ascii="Book Antiqua" w:eastAsia="Calibri" w:hAnsi="Book Antiqua"/>
              </w:rPr>
              <w:t xml:space="preserve"> č. </w:t>
            </w:r>
            <w:r w:rsidR="00700BB4" w:rsidRPr="00A3564E">
              <w:rPr>
                <w:rFonts w:ascii="Book Antiqua" w:eastAsia="Calibri" w:hAnsi="Book Antiqua"/>
              </w:rPr>
              <w:t>273/2021</w:t>
            </w:r>
            <w:r w:rsidRPr="00A3564E">
              <w:rPr>
                <w:rFonts w:ascii="Book Antiqua" w:eastAsia="Calibri" w:hAnsi="Book Antiqua"/>
              </w:rPr>
              <w:t xml:space="preserve"> Sb.</w:t>
            </w:r>
            <w:r w:rsidR="00700BB4" w:rsidRPr="00A3564E">
              <w:rPr>
                <w:rFonts w:ascii="Book Antiqua" w:eastAsia="Calibri" w:hAnsi="Book Antiqua"/>
              </w:rPr>
              <w:t>,</w:t>
            </w:r>
            <w:r w:rsidRPr="00A3564E">
              <w:rPr>
                <w:rFonts w:ascii="Book Antiqua" w:eastAsia="Calibri" w:hAnsi="Book Antiqua"/>
              </w:rPr>
              <w:t xml:space="preserve"> o podrobnostech nakládání s odpady</w:t>
            </w:r>
            <w:r w:rsidR="00D04F9B" w:rsidRPr="00A3564E">
              <w:rPr>
                <w:rFonts w:ascii="Book Antiqua" w:eastAsia="Calibri" w:hAnsi="Book Antiqua"/>
              </w:rPr>
              <w:t>;</w:t>
            </w:r>
          </w:p>
          <w:p w14:paraId="35B25546" w14:textId="33B5B2FD" w:rsidR="0093717D" w:rsidRPr="00A3564E" w:rsidRDefault="0093717D" w:rsidP="00A3564E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A3564E">
              <w:rPr>
                <w:rFonts w:ascii="Book Antiqua" w:hAnsi="Book Antiqua"/>
              </w:rPr>
              <w:t>budu dodržovat zásady „významně nepoškozovat“ dle Nařízení (EU) 2021/241 ze dne 12. února 2021 o Nástroji pro oživení a odolnost:</w:t>
            </w:r>
          </w:p>
          <w:p w14:paraId="157E1FD8" w14:textId="0F3747A0" w:rsidR="0093717D" w:rsidRPr="00A3564E" w:rsidRDefault="0093717D" w:rsidP="00A3564E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A3564E">
              <w:rPr>
                <w:rFonts w:ascii="Book Antiqua" w:hAnsi="Book Antiqu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56ED8C1D" w14:textId="5375D6A2" w:rsidR="00C97CFC" w:rsidRPr="00A3564E" w:rsidRDefault="00C97CFC" w:rsidP="00A3564E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Book Antiqua" w:hAnsi="Book Antiqua" w:cstheme="minorHAnsi"/>
                <w:szCs w:val="22"/>
              </w:rPr>
            </w:pPr>
            <w:r w:rsidRPr="00A3564E">
              <w:rPr>
                <w:rFonts w:ascii="Book Antiqua" w:hAnsi="Book Antiqua" w:cstheme="minorHAnsi"/>
                <w:szCs w:val="22"/>
              </w:rPr>
              <w:t>Zavazuji se dodržel níže uvedené požadavky vztahující se k udržitelnému využívání a ochraně vodních zdrojů:</w:t>
            </w:r>
          </w:p>
          <w:p w14:paraId="7225090D" w14:textId="77777777" w:rsidR="00C97CFC" w:rsidRPr="00A3564E" w:rsidRDefault="00C97CFC" w:rsidP="00A3564E">
            <w:pPr>
              <w:pStyle w:val="Zkladntext"/>
              <w:numPr>
                <w:ilvl w:val="0"/>
                <w:numId w:val="14"/>
              </w:numPr>
              <w:spacing w:after="0" w:line="240" w:lineRule="auto"/>
              <w:ind w:right="398"/>
              <w:rPr>
                <w:rFonts w:ascii="Book Antiqua" w:hAnsi="Book Antiqua" w:cstheme="minorHAnsi"/>
                <w:u w:val="single"/>
              </w:rPr>
            </w:pPr>
            <w:r w:rsidRPr="00A3564E">
              <w:rPr>
                <w:rFonts w:ascii="Book Antiqua" w:hAnsi="Book Antiqua" w:cstheme="minorHAnsi"/>
                <w:u w:val="single"/>
              </w:rPr>
              <w:t>Budou-li instalována tato zařízení k využívání vody, je pro ně uvedená spotřeba vody doložena technickými listy výrobku, stavební certifikací nebo stávajícím štítkem výrobku v EU:</w:t>
            </w:r>
          </w:p>
          <w:p w14:paraId="11D933BB" w14:textId="77777777" w:rsidR="00C97CFC" w:rsidRPr="00A3564E" w:rsidRDefault="00C97CFC" w:rsidP="00A3564E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701" w:hanging="283"/>
              <w:jc w:val="left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>umyvadlové baterie a kuchyňské baterie mají maximální průtok vody 6</w:t>
            </w:r>
            <w:r w:rsidRPr="00A3564E">
              <w:rPr>
                <w:rFonts w:ascii="Book Antiqua" w:hAnsi="Book Antiqua" w:cstheme="minorHAnsi"/>
                <w:spacing w:val="-20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litrů/min;</w:t>
            </w:r>
          </w:p>
          <w:p w14:paraId="54A25816" w14:textId="77777777" w:rsidR="00C97CFC" w:rsidRPr="00A3564E" w:rsidRDefault="00C97CFC" w:rsidP="00A3564E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701" w:hanging="283"/>
              <w:jc w:val="left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lastRenderedPageBreak/>
              <w:t>sprchy mají maximální průtok vody 8</w:t>
            </w:r>
            <w:r w:rsidRPr="00A3564E">
              <w:rPr>
                <w:rFonts w:ascii="Book Antiqua" w:hAnsi="Book Antiqua" w:cstheme="minorHAnsi"/>
                <w:spacing w:val="-8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litrů/min;</w:t>
            </w:r>
          </w:p>
          <w:p w14:paraId="731A24F2" w14:textId="77777777" w:rsidR="00C97CFC" w:rsidRPr="00A3564E" w:rsidRDefault="00C97CFC" w:rsidP="00A3564E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701" w:right="399" w:hanging="283"/>
              <w:jc w:val="left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>WC, zahrnující soupravy, mísy a splachovací nádrže, mají úplný objem splachovací vody maximálně 6 litrů a maximální průměrný objem splachovací vody 3,5</w:t>
            </w:r>
            <w:r w:rsidRPr="00A3564E">
              <w:rPr>
                <w:rFonts w:ascii="Book Antiqua" w:hAnsi="Book Antiqua" w:cstheme="minorHAnsi"/>
                <w:spacing w:val="-18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litru;</w:t>
            </w:r>
          </w:p>
          <w:p w14:paraId="4D0859C4" w14:textId="77777777" w:rsidR="00C97CFC" w:rsidRPr="00A3564E" w:rsidRDefault="00C97CFC" w:rsidP="00A3564E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701" w:right="397" w:hanging="283"/>
              <w:jc w:val="left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>pisoáry spotřebují maximálně 2 litry/mísu/hodinu. Splachovací pisoáry mají maximální úplný objem splachovací vody 1</w:t>
            </w:r>
            <w:r w:rsidRPr="00A3564E">
              <w:rPr>
                <w:rFonts w:ascii="Book Antiqua" w:hAnsi="Book Antiqua" w:cstheme="minorHAnsi"/>
                <w:spacing w:val="-2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litr.</w:t>
            </w:r>
          </w:p>
          <w:p w14:paraId="48E1DBE5" w14:textId="77777777" w:rsidR="00C97CFC" w:rsidRPr="00A3564E" w:rsidRDefault="00C97CFC" w:rsidP="00A3564E">
            <w:pPr>
              <w:pStyle w:val="Zkladntext"/>
              <w:numPr>
                <w:ilvl w:val="0"/>
                <w:numId w:val="13"/>
              </w:numPr>
              <w:spacing w:after="0" w:line="240" w:lineRule="auto"/>
              <w:ind w:left="1418" w:hanging="284"/>
              <w:rPr>
                <w:rFonts w:ascii="Book Antiqua" w:hAnsi="Book Antiqua" w:cstheme="minorHAnsi"/>
                <w:u w:val="single"/>
              </w:rPr>
            </w:pPr>
            <w:r w:rsidRPr="00A3564E">
              <w:rPr>
                <w:rFonts w:ascii="Book Antiqua" w:hAnsi="Book Antiqua" w:cstheme="minorHAnsi"/>
                <w:u w:val="single"/>
              </w:rPr>
              <w:t>Přechod na oběhové hospodářství:</w:t>
            </w:r>
          </w:p>
          <w:p w14:paraId="1BBDB28A" w14:textId="6EE734F6" w:rsidR="00C97CFC" w:rsidRPr="00A3564E" w:rsidRDefault="00C97CFC" w:rsidP="00A3564E">
            <w:pPr>
              <w:pStyle w:val="Zkladntext"/>
              <w:spacing w:after="0" w:line="240" w:lineRule="auto"/>
              <w:ind w:left="1418" w:right="395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 Nejméně 70 % (hmotnostních) stavebního a demoličního odpadu neklasifikovaného jako nebezpečný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(s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výjimkou</w:t>
            </w:r>
            <w:r w:rsidRPr="00A3564E">
              <w:rPr>
                <w:rFonts w:ascii="Book Antiqua" w:hAnsi="Book Antiqua" w:cstheme="minorHAnsi"/>
                <w:spacing w:val="-9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</w:t>
            </w:r>
            <w:r w:rsidRPr="00A3564E">
              <w:rPr>
                <w:rFonts w:ascii="Book Antiqua" w:hAnsi="Book Antiqua" w:cstheme="minorHAnsi"/>
                <w:spacing w:val="-3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přírodě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se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vyskytujících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materiálů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uvedených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</w:t>
            </w:r>
            <w:r w:rsidRPr="00A3564E">
              <w:rPr>
                <w:rFonts w:ascii="Book Antiqua" w:hAnsi="Book Antiqua" w:cstheme="minorHAnsi"/>
                <w:spacing w:val="-7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kategorii</w:t>
            </w:r>
            <w:r w:rsidRPr="00A3564E">
              <w:rPr>
                <w:rFonts w:ascii="Book Antiqua" w:hAnsi="Book Antiqua" w:cstheme="minorHAnsi"/>
                <w:spacing w:val="-8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17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05</w:t>
            </w:r>
            <w:r w:rsidRPr="00A3564E">
              <w:rPr>
                <w:rFonts w:ascii="Book Antiqua" w:hAnsi="Book Antiqua" w:cstheme="minorHAnsi"/>
                <w:spacing w:val="-7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04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      </w:r>
          </w:p>
          <w:p w14:paraId="109A2818" w14:textId="3E459EEC" w:rsidR="00C97CFC" w:rsidRPr="00A3564E" w:rsidRDefault="00C97CFC" w:rsidP="00A3564E">
            <w:pPr>
              <w:pStyle w:val="Zkladntext"/>
              <w:numPr>
                <w:ilvl w:val="0"/>
                <w:numId w:val="13"/>
              </w:numPr>
              <w:spacing w:after="0" w:line="240" w:lineRule="auto"/>
              <w:ind w:left="1418" w:hanging="284"/>
              <w:rPr>
                <w:rFonts w:ascii="Book Antiqua" w:hAnsi="Book Antiqua" w:cstheme="minorHAnsi"/>
                <w:u w:val="single"/>
              </w:rPr>
            </w:pPr>
            <w:r w:rsidRPr="00A3564E">
              <w:rPr>
                <w:rFonts w:ascii="Book Antiqua" w:hAnsi="Book Antiqua" w:cstheme="minorHAnsi"/>
                <w:u w:val="single"/>
              </w:rPr>
              <w:t>Prevence a omezování znečištění:</w:t>
            </w:r>
          </w:p>
          <w:p w14:paraId="0500C97C" w14:textId="5DAA75BA" w:rsidR="00C97CFC" w:rsidRPr="00A3564E" w:rsidRDefault="00C97CFC" w:rsidP="00A3564E">
            <w:pPr>
              <w:pStyle w:val="Zkladntext"/>
              <w:spacing w:after="0" w:line="240" w:lineRule="auto"/>
              <w:ind w:left="1418" w:right="391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 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      </w:r>
          </w:p>
          <w:p w14:paraId="0A3E4655" w14:textId="368BE199" w:rsidR="00C97CFC" w:rsidRPr="00A3564E" w:rsidRDefault="00C97CFC" w:rsidP="00A3564E">
            <w:pPr>
              <w:pStyle w:val="Zkladntext"/>
              <w:spacing w:after="0" w:line="240" w:lineRule="auto"/>
              <w:ind w:left="1418" w:right="397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 Pokud je nová stavba umístěna na potenciálně kontaminovaném místě (brownfield), bylo na staveništi provedeno šetření na potenciální kontaminující látky, například podle normy ISO 18400.</w:t>
            </w:r>
          </w:p>
          <w:p w14:paraId="121CEBC5" w14:textId="7538684B" w:rsidR="00C97CFC" w:rsidRPr="00A3564E" w:rsidRDefault="00C97CFC" w:rsidP="00A3564E">
            <w:pPr>
              <w:pStyle w:val="Zkladntext"/>
              <w:spacing w:after="0" w:line="240" w:lineRule="auto"/>
              <w:ind w:left="1418" w:right="399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 Přijímají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se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opatření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ke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snížení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hluku,</w:t>
            </w:r>
            <w:r w:rsidRPr="00A3564E">
              <w:rPr>
                <w:rFonts w:ascii="Book Antiqua" w:hAnsi="Book Antiqua" w:cstheme="minorHAnsi"/>
                <w:spacing w:val="-1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prachu</w:t>
            </w:r>
            <w:r w:rsidRPr="00A3564E">
              <w:rPr>
                <w:rFonts w:ascii="Book Antiqua" w:hAnsi="Book Antiqua" w:cstheme="minorHAnsi"/>
                <w:spacing w:val="-6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a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emisí</w:t>
            </w:r>
            <w:r w:rsidRPr="00A3564E">
              <w:rPr>
                <w:rFonts w:ascii="Book Antiqua" w:hAnsi="Book Antiqua" w:cstheme="minorHAnsi"/>
                <w:spacing w:val="-4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znečišťujících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látek</w:t>
            </w:r>
            <w:r w:rsidRPr="00A3564E">
              <w:rPr>
                <w:rFonts w:ascii="Book Antiqua" w:hAnsi="Book Antiqua" w:cstheme="minorHAnsi"/>
                <w:spacing w:val="-8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při</w:t>
            </w:r>
            <w:r w:rsidRPr="00A3564E">
              <w:rPr>
                <w:rFonts w:ascii="Book Antiqua" w:hAnsi="Book Antiqua" w:cstheme="minorHAnsi"/>
                <w:spacing w:val="-3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stavebních</w:t>
            </w:r>
            <w:r w:rsidRPr="00A3564E">
              <w:rPr>
                <w:rFonts w:ascii="Book Antiqua" w:hAnsi="Book Antiqua" w:cstheme="minorHAnsi"/>
                <w:spacing w:val="-5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nebo údržbářských</w:t>
            </w:r>
            <w:r w:rsidRPr="00A3564E">
              <w:rPr>
                <w:rFonts w:ascii="Book Antiqua" w:hAnsi="Book Antiqua" w:cstheme="minorHAnsi"/>
                <w:spacing w:val="-1"/>
              </w:rPr>
              <w:t xml:space="preserve"> </w:t>
            </w:r>
            <w:r w:rsidRPr="00A3564E">
              <w:rPr>
                <w:rFonts w:ascii="Book Antiqua" w:hAnsi="Book Antiqua" w:cstheme="minorHAnsi"/>
              </w:rPr>
              <w:t>pracích, prostory budou od zbytku budovy zajištěny dočasným uzavřením, které bude podpořeno izolací skulin proti propustnosti prachu a znečišťujících látek.</w:t>
            </w:r>
          </w:p>
          <w:p w14:paraId="7A8DA394" w14:textId="7D42F9CD" w:rsidR="00C97CFC" w:rsidRPr="00A3564E" w:rsidRDefault="00C97CFC" w:rsidP="00A3564E">
            <w:pPr>
              <w:pStyle w:val="Zkladntext"/>
              <w:spacing w:after="0" w:line="240" w:lineRule="auto"/>
              <w:ind w:left="1418" w:right="399" w:hanging="284"/>
              <w:rPr>
                <w:rFonts w:ascii="Book Antiqua" w:hAnsi="Book Antiqua" w:cstheme="minorHAnsi"/>
              </w:rPr>
            </w:pPr>
            <w:r w:rsidRPr="00A3564E">
              <w:rPr>
                <w:rFonts w:ascii="Book Antiqua" w:hAnsi="Book Antiqua" w:cstheme="minorHAnsi"/>
              </w:rPr>
              <w:t xml:space="preserve">     Nedojde k negativnímu ovlivnění povrchových ani podzemních vod.</w:t>
            </w:r>
          </w:p>
          <w:p w14:paraId="7252A609" w14:textId="591BCB3B" w:rsidR="00A92835" w:rsidRPr="00A3564E" w:rsidRDefault="006E4E5C" w:rsidP="00A3564E">
            <w:pPr>
              <w:spacing w:before="0" w:after="0"/>
              <w:ind w:left="108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</w:t>
            </w:r>
            <w:r w:rsidR="00A92835" w:rsidRPr="00A3564E">
              <w:rPr>
                <w:rFonts w:ascii="Book Antiqua" w:eastAsia="Calibri" w:hAnsi="Book Antiqua"/>
              </w:rPr>
              <w:t xml:space="preserve">avazuji </w:t>
            </w:r>
            <w:r w:rsidRPr="00A3564E">
              <w:rPr>
                <w:rFonts w:ascii="Book Antiqua" w:eastAsia="Calibri" w:hAnsi="Book Antiqua"/>
              </w:rPr>
              <w:t xml:space="preserve">se </w:t>
            </w:r>
            <w:r w:rsidR="00A92835" w:rsidRPr="00A3564E">
              <w:rPr>
                <w:rFonts w:ascii="Book Antiqua" w:eastAsia="Calibri" w:hAnsi="Book Antiqua"/>
              </w:rPr>
              <w:t>zabránit působením negativních vlivů na životní prostředí zejména:</w:t>
            </w:r>
          </w:p>
          <w:p w14:paraId="67B8A17A" w14:textId="20A37E58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3117A90D" w14:textId="2161CEAD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stav</w:t>
            </w:r>
            <w:r w:rsidR="00700BB4" w:rsidRPr="00A3564E">
              <w:rPr>
                <w:rFonts w:ascii="Book Antiqua" w:eastAsia="Calibri" w:hAnsi="Book Antiqua"/>
              </w:rPr>
              <w:t>ební činnost stavebními mechanis</w:t>
            </w:r>
            <w:r w:rsidRPr="00A3564E">
              <w:rPr>
                <w:rFonts w:ascii="Book Antiqua" w:eastAsia="Calibri" w:hAnsi="Book Antiqua"/>
              </w:rPr>
              <w:t>my, hlučné práce včetně nákladn</w:t>
            </w:r>
            <w:r w:rsidR="00700BB4" w:rsidRPr="00A3564E">
              <w:rPr>
                <w:rFonts w:ascii="Book Antiqua" w:eastAsia="Calibri" w:hAnsi="Book Antiqua"/>
              </w:rPr>
              <w:t>í a </w:t>
            </w:r>
            <w:r w:rsidRPr="00A3564E">
              <w:rPr>
                <w:rFonts w:ascii="Book Antiqua" w:eastAsia="Calibri" w:hAnsi="Book Antiqua"/>
              </w:rPr>
              <w:t>automobilové dopravy realizovat v dohodnutých termínech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73BD287E" w14:textId="518B56C5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stavební činnost provozovat tak, aby nedocházelo k obtěžování okolí nadměrným hlukem a prachem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3AC762A2" w14:textId="5531516A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dopravní prostředky před výjezdem ze staveniště řádně očistit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0E1FBA3F" w14:textId="7528BF4B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vyloučit nebezpečí požáru z topenišť a jiných zdrojů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7238AABF" w14:textId="1CB0C7E9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zabránit exhalacím z topenišť, rozehřívání strojů nedovoleným způsobem</w:t>
            </w:r>
            <w:r w:rsidR="00C12638" w:rsidRPr="00A3564E">
              <w:rPr>
                <w:rFonts w:ascii="Book Antiqua" w:eastAsia="Calibri" w:hAnsi="Book Antiqua"/>
              </w:rPr>
              <w:t>;</w:t>
            </w:r>
          </w:p>
          <w:p w14:paraId="02FB5382" w14:textId="1004B660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A3564E">
              <w:rPr>
                <w:rFonts w:ascii="Book Antiqua" w:eastAsia="Calibri" w:hAnsi="Book Antiqua"/>
              </w:rPr>
              <w:t>znečištění neprodleně odstranit;</w:t>
            </w:r>
          </w:p>
          <w:p w14:paraId="7EBF47E9" w14:textId="536579EC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 xml:space="preserve">před prací v rámci staveniště musí investor zajistit zaměření všech stávajících inženýrských sítí, neboť výchozí podklady nemusí vždy přesně zachycovat </w:t>
            </w:r>
            <w:r w:rsidRPr="00A3564E">
              <w:rPr>
                <w:rFonts w:ascii="Book Antiqua" w:eastAsia="Calibri" w:hAnsi="Book Antiqua"/>
              </w:rPr>
              <w:lastRenderedPageBreak/>
              <w:t>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A3564E">
              <w:rPr>
                <w:rFonts w:ascii="Book Antiqua" w:eastAsia="Calibri" w:hAnsi="Book Antiqua"/>
              </w:rPr>
              <w:t>tí technického vybavení;</w:t>
            </w:r>
          </w:p>
          <w:p w14:paraId="0B36C3DD" w14:textId="7ED77963" w:rsidR="00A92835" w:rsidRPr="00A3564E" w:rsidRDefault="00A92835" w:rsidP="00A3564E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A3564E">
              <w:rPr>
                <w:rFonts w:ascii="Book Antiqua" w:eastAsia="Calibri" w:hAnsi="Book Antiqu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A3564E">
              <w:rPr>
                <w:rFonts w:ascii="Book Antiqua" w:eastAsia="Calibri" w:hAnsi="Book Antiqua"/>
              </w:rPr>
              <w:t>h ČSN a zákona č. 274/2001 Sb., o</w:t>
            </w:r>
            <w:r w:rsidRPr="00A3564E">
              <w:rPr>
                <w:rFonts w:ascii="Book Antiqua" w:eastAsia="Calibri" w:hAnsi="Book Antiqu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1CE70879" w14:textId="77777777" w:rsidR="00A92835" w:rsidRPr="00A3564E" w:rsidRDefault="00A92835" w:rsidP="00A3564E">
            <w:pPr>
              <w:spacing w:before="0" w:after="0"/>
              <w:rPr>
                <w:rFonts w:ascii="Book Antiqua" w:eastAsia="Calibri" w:hAnsi="Book Antiqua"/>
              </w:rPr>
            </w:pPr>
          </w:p>
          <w:p w14:paraId="21C4F09C" w14:textId="3F707E96" w:rsidR="006E4E5C" w:rsidRPr="00A3564E" w:rsidRDefault="006E4E5C" w:rsidP="00A3564E">
            <w:pPr>
              <w:spacing w:before="0" w:after="0"/>
              <w:rPr>
                <w:rFonts w:ascii="Book Antiqua" w:eastAsia="Calibri" w:hAnsi="Book Antiqua"/>
              </w:rPr>
            </w:pPr>
          </w:p>
        </w:tc>
      </w:tr>
    </w:tbl>
    <w:p w14:paraId="035DFD8F" w14:textId="310B1744" w:rsidR="00957DAE" w:rsidRPr="00A3564E" w:rsidRDefault="00C164F8" w:rsidP="00A3564E">
      <w:pPr>
        <w:spacing w:before="0" w:after="0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</w:rPr>
        <w:lastRenderedPageBreak/>
        <w:t xml:space="preserve">V 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A3564E">
        <w:rPr>
          <w:rFonts w:ascii="Book Antiqua" w:hAnsi="Book Antiqua" w:cs="Calibri"/>
          <w:szCs w:val="22"/>
        </w:rPr>
        <w:t xml:space="preserve"> dne 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3564E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A3564E" w:rsidRDefault="00C164F8" w:rsidP="00A3564E">
      <w:pPr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</w:rPr>
        <w:t>____________________</w:t>
      </w:r>
    </w:p>
    <w:p w14:paraId="0B1BEFB3" w14:textId="77777777" w:rsidR="00957DAE" w:rsidRPr="00A3564E" w:rsidRDefault="00C164F8" w:rsidP="00A3564E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  <w:highlight w:val="yellow"/>
        </w:rPr>
        <w:t>Jméno</w:t>
      </w:r>
      <w:r w:rsidR="00976210" w:rsidRPr="00A3564E">
        <w:rPr>
          <w:rFonts w:ascii="Book Antiqua" w:hAnsi="Book Antiqua"/>
          <w:szCs w:val="22"/>
          <w:highlight w:val="yellow"/>
        </w:rPr>
        <w:t xml:space="preserve"> a příjmení, f</w:t>
      </w:r>
      <w:r w:rsidRPr="00A3564E">
        <w:rPr>
          <w:rFonts w:ascii="Book Antiqua" w:hAnsi="Book Antiqua" w:cs="Calibri"/>
          <w:szCs w:val="22"/>
          <w:highlight w:val="yellow"/>
        </w:rPr>
        <w:t>unkce</w:t>
      </w:r>
    </w:p>
    <w:p w14:paraId="49C76711" w14:textId="77777777" w:rsidR="00957DAE" w:rsidRPr="00A3564E" w:rsidRDefault="00C164F8" w:rsidP="00A3564E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  <w:highlight w:val="yellow"/>
        </w:rPr>
        <w:t>Firma</w:t>
      </w:r>
    </w:p>
    <w:p w14:paraId="01C9C422" w14:textId="77777777" w:rsidR="00957DAE" w:rsidRPr="00A3564E" w:rsidRDefault="00C164F8" w:rsidP="00A3564E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A3564E">
        <w:rPr>
          <w:rFonts w:ascii="Book Antiqua" w:hAnsi="Book Antiqua" w:cs="Calibri"/>
          <w:szCs w:val="22"/>
          <w:highlight w:val="yellow"/>
        </w:rPr>
        <w:t>(dodavatel)</w:t>
      </w:r>
    </w:p>
    <w:sectPr w:rsidR="00957DAE" w:rsidRPr="00A3564E" w:rsidSect="006E4E5C"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6E3B" w14:textId="77777777" w:rsidR="000122F0" w:rsidRDefault="000122F0">
      <w:pPr>
        <w:spacing w:before="0" w:after="0"/>
      </w:pPr>
      <w:r>
        <w:separator/>
      </w:r>
    </w:p>
  </w:endnote>
  <w:endnote w:type="continuationSeparator" w:id="0">
    <w:p w14:paraId="7158A63D" w14:textId="77777777" w:rsidR="000122F0" w:rsidRDefault="000122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EE5F" w14:textId="77777777" w:rsidR="000122F0" w:rsidRDefault="000122F0">
      <w:pPr>
        <w:spacing w:before="0" w:after="0"/>
      </w:pPr>
      <w:r>
        <w:separator/>
      </w:r>
    </w:p>
  </w:footnote>
  <w:footnote w:type="continuationSeparator" w:id="0">
    <w:p w14:paraId="496FA4CE" w14:textId="77777777" w:rsidR="000122F0" w:rsidRDefault="000122F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E669B"/>
    <w:multiLevelType w:val="hybridMultilevel"/>
    <w:tmpl w:val="0A5CCE3E"/>
    <w:lvl w:ilvl="0" w:tplc="75E68C92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01E6"/>
    <w:multiLevelType w:val="hybridMultilevel"/>
    <w:tmpl w:val="54B649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6ADF"/>
    <w:multiLevelType w:val="hybridMultilevel"/>
    <w:tmpl w:val="9044F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DBF2009"/>
    <w:multiLevelType w:val="hybridMultilevel"/>
    <w:tmpl w:val="7B82C8C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2825250">
    <w:abstractNumId w:val="0"/>
  </w:num>
  <w:num w:numId="2" w16cid:durableId="1082796356">
    <w:abstractNumId w:val="1"/>
  </w:num>
  <w:num w:numId="3" w16cid:durableId="388961694">
    <w:abstractNumId w:val="2"/>
  </w:num>
  <w:num w:numId="4" w16cid:durableId="1437754692">
    <w:abstractNumId w:val="3"/>
  </w:num>
  <w:num w:numId="5" w16cid:durableId="2119830760">
    <w:abstractNumId w:val="6"/>
  </w:num>
  <w:num w:numId="6" w16cid:durableId="495340006">
    <w:abstractNumId w:val="12"/>
  </w:num>
  <w:num w:numId="7" w16cid:durableId="1852640368">
    <w:abstractNumId w:val="4"/>
  </w:num>
  <w:num w:numId="8" w16cid:durableId="2112898564">
    <w:abstractNumId w:val="10"/>
  </w:num>
  <w:num w:numId="9" w16cid:durableId="671565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2111300">
    <w:abstractNumId w:val="9"/>
    <w:lvlOverride w:ilvl="0">
      <w:startOverride w:val="1"/>
    </w:lvlOverride>
  </w:num>
  <w:num w:numId="11" w16cid:durableId="1747262319">
    <w:abstractNumId w:val="8"/>
  </w:num>
  <w:num w:numId="12" w16cid:durableId="600603122">
    <w:abstractNumId w:val="5"/>
  </w:num>
  <w:num w:numId="13" w16cid:durableId="62223284">
    <w:abstractNumId w:val="7"/>
  </w:num>
  <w:num w:numId="14" w16cid:durableId="25991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33E4"/>
    <w:rsid w:val="00034B57"/>
    <w:rsid w:val="00036006"/>
    <w:rsid w:val="000426CB"/>
    <w:rsid w:val="00061156"/>
    <w:rsid w:val="00096FC8"/>
    <w:rsid w:val="000A0110"/>
    <w:rsid w:val="00183CC4"/>
    <w:rsid w:val="001A5076"/>
    <w:rsid w:val="001C7EDA"/>
    <w:rsid w:val="00232EE9"/>
    <w:rsid w:val="0024623D"/>
    <w:rsid w:val="002476CF"/>
    <w:rsid w:val="002C2F9A"/>
    <w:rsid w:val="002D61A1"/>
    <w:rsid w:val="002E6888"/>
    <w:rsid w:val="00300A4B"/>
    <w:rsid w:val="00313632"/>
    <w:rsid w:val="0032708F"/>
    <w:rsid w:val="00351482"/>
    <w:rsid w:val="0035705F"/>
    <w:rsid w:val="00362508"/>
    <w:rsid w:val="003B614B"/>
    <w:rsid w:val="004853D4"/>
    <w:rsid w:val="004C0507"/>
    <w:rsid w:val="004C541C"/>
    <w:rsid w:val="004E51AB"/>
    <w:rsid w:val="00501A3B"/>
    <w:rsid w:val="00570B03"/>
    <w:rsid w:val="00576FC4"/>
    <w:rsid w:val="00580B9A"/>
    <w:rsid w:val="005B7102"/>
    <w:rsid w:val="005D48B0"/>
    <w:rsid w:val="005E4478"/>
    <w:rsid w:val="00617286"/>
    <w:rsid w:val="00620802"/>
    <w:rsid w:val="00635679"/>
    <w:rsid w:val="00666175"/>
    <w:rsid w:val="00666E2B"/>
    <w:rsid w:val="0067490F"/>
    <w:rsid w:val="006A5B46"/>
    <w:rsid w:val="006A76F1"/>
    <w:rsid w:val="006B2080"/>
    <w:rsid w:val="006E4E5C"/>
    <w:rsid w:val="00700BB4"/>
    <w:rsid w:val="00705C9C"/>
    <w:rsid w:val="00727119"/>
    <w:rsid w:val="00744A9B"/>
    <w:rsid w:val="00765F39"/>
    <w:rsid w:val="007A2697"/>
    <w:rsid w:val="007E355A"/>
    <w:rsid w:val="007F623E"/>
    <w:rsid w:val="008066F0"/>
    <w:rsid w:val="00825BDF"/>
    <w:rsid w:val="00851EBA"/>
    <w:rsid w:val="00864289"/>
    <w:rsid w:val="008715EC"/>
    <w:rsid w:val="008829E5"/>
    <w:rsid w:val="008946D3"/>
    <w:rsid w:val="008D044F"/>
    <w:rsid w:val="008F160E"/>
    <w:rsid w:val="00900EC5"/>
    <w:rsid w:val="00933BC9"/>
    <w:rsid w:val="0093717D"/>
    <w:rsid w:val="00957DAE"/>
    <w:rsid w:val="00975953"/>
    <w:rsid w:val="009760F7"/>
    <w:rsid w:val="00976210"/>
    <w:rsid w:val="009A5B5D"/>
    <w:rsid w:val="009B5D7C"/>
    <w:rsid w:val="009D144F"/>
    <w:rsid w:val="009E005F"/>
    <w:rsid w:val="00A03F37"/>
    <w:rsid w:val="00A3564E"/>
    <w:rsid w:val="00A5547F"/>
    <w:rsid w:val="00A6378A"/>
    <w:rsid w:val="00A858A4"/>
    <w:rsid w:val="00A92835"/>
    <w:rsid w:val="00AE72D6"/>
    <w:rsid w:val="00AF2D73"/>
    <w:rsid w:val="00B21385"/>
    <w:rsid w:val="00B60DDA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7CFC"/>
    <w:rsid w:val="00CA2AB0"/>
    <w:rsid w:val="00D03939"/>
    <w:rsid w:val="00D04F9B"/>
    <w:rsid w:val="00D05037"/>
    <w:rsid w:val="00DD645D"/>
    <w:rsid w:val="00DE0FA1"/>
    <w:rsid w:val="00E207CB"/>
    <w:rsid w:val="00E304EC"/>
    <w:rsid w:val="00E330FF"/>
    <w:rsid w:val="00E72B01"/>
    <w:rsid w:val="00E844DF"/>
    <w:rsid w:val="00EE2BF4"/>
    <w:rsid w:val="00F362E6"/>
    <w:rsid w:val="00F64878"/>
    <w:rsid w:val="00F73383"/>
    <w:rsid w:val="00FA018C"/>
    <w:rsid w:val="00FA0B34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paragraph" w:styleId="Odstavecseseznamem">
    <w:name w:val="List Paragraph"/>
    <w:aliases w:val="Nad,List Paragraph,Odstavec_muj,Odstavec cíl se seznamem,Odstavec se seznamem5,Bullet Number,lp1,List Paragraph1,lp11,List Paragraph11,Bullet 1,Use Case List Paragraph,Odrazky,Bullet List,Puce,Heading2,Bullet for no #'s,Body Bullet"/>
    <w:basedOn w:val="Normln"/>
    <w:link w:val="OdstavecseseznamemChar"/>
    <w:uiPriority w:val="1"/>
    <w:qFormat/>
    <w:rsid w:val="00C97CFC"/>
    <w:pPr>
      <w:suppressAutoHyphens w:val="0"/>
      <w:spacing w:before="0" w:after="240" w:line="276" w:lineRule="auto"/>
      <w:ind w:left="708"/>
    </w:pPr>
    <w:rPr>
      <w:rFonts w:ascii="Cambria" w:eastAsia="Calibri" w:hAnsi="Cambria" w:cs="Cambria"/>
      <w:szCs w:val="24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lp1 Char,List Paragraph1 Char,lp11 Char,List Paragraph11 Char,Bullet 1 Char,Use Case List Paragraph Char"/>
    <w:link w:val="Odstavecseseznamem"/>
    <w:uiPriority w:val="1"/>
    <w:qFormat/>
    <w:rsid w:val="00C97CFC"/>
    <w:rPr>
      <w:rFonts w:ascii="Cambria" w:eastAsia="Calibri" w:hAnsi="Cambria" w:cs="Cambria"/>
      <w:sz w:val="22"/>
      <w:szCs w:val="24"/>
      <w:lang w:eastAsia="en-US"/>
    </w:rPr>
  </w:style>
  <w:style w:type="paragraph" w:customStyle="1" w:styleId="Smlouva2">
    <w:name w:val="Smlouva2"/>
    <w:basedOn w:val="Normln"/>
    <w:rsid w:val="00A03F37"/>
    <w:pPr>
      <w:suppressAutoHyphens w:val="0"/>
      <w:spacing w:before="0" w:after="0"/>
      <w:jc w:val="center"/>
    </w:pPr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4</cp:revision>
  <cp:lastPrinted>1995-11-21T16:41:00Z</cp:lastPrinted>
  <dcterms:created xsi:type="dcterms:W3CDTF">2025-03-18T18:58:00Z</dcterms:created>
  <dcterms:modified xsi:type="dcterms:W3CDTF">2025-03-20T19:28:00Z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