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1FBC" w:rsidRDefault="009477AD">
      <w:pPr>
        <w:jc w:val="right"/>
      </w:pPr>
      <w:r>
        <w:rPr>
          <w:b/>
          <w:i/>
          <w:sz w:val="22"/>
        </w:rPr>
        <w:t>Příloha č. 3</w:t>
      </w:r>
      <w:bookmarkStart w:id="0" w:name="_GoBack"/>
      <w:bookmarkEnd w:id="0"/>
      <w:r w:rsidR="00B92BA4">
        <w:rPr>
          <w:b/>
          <w:i/>
          <w:sz w:val="22"/>
        </w:rPr>
        <w:t xml:space="preserve"> </w:t>
      </w:r>
      <w:r w:rsidR="002D0B39">
        <w:rPr>
          <w:b/>
          <w:i/>
          <w:sz w:val="22"/>
        </w:rPr>
        <w:t>–</w:t>
      </w:r>
      <w:r w:rsidR="00B92BA4">
        <w:rPr>
          <w:b/>
          <w:i/>
          <w:sz w:val="22"/>
        </w:rPr>
        <w:t xml:space="preserve"> </w:t>
      </w:r>
      <w:r w:rsidR="002D0B39">
        <w:rPr>
          <w:b/>
          <w:i/>
          <w:sz w:val="22"/>
        </w:rPr>
        <w:t>Položkový rozpočet</w:t>
      </w:r>
    </w:p>
    <w:p w:rsidR="00F41FBC" w:rsidRDefault="002D0B39" w:rsidP="007A455C">
      <w:pPr>
        <w:spacing w:before="120" w:after="240"/>
        <w:jc w:val="center"/>
      </w:pPr>
      <w:r>
        <w:rPr>
          <w:b/>
          <w:sz w:val="28"/>
        </w:rPr>
        <w:t>Položkový rozpočet</w:t>
      </w:r>
      <w:r w:rsidR="00B92BA4">
        <w:rPr>
          <w:b/>
          <w:sz w:val="28"/>
        </w:rPr>
        <w:t xml:space="preserve"> předmětu plnění</w:t>
      </w:r>
    </w:p>
    <w:p w:rsidR="00F41FBC" w:rsidRDefault="00B92BA4">
      <w:r>
        <w:rPr>
          <w:rFonts w:ascii="Cambria" w:eastAsia="Cambria" w:hAnsi="Cambria" w:cs="Cambria"/>
          <w:b/>
          <w:sz w:val="24"/>
        </w:rPr>
        <w:t xml:space="preserve">Část A. Konsolidace a optimalizace serverové infrastruktury </w:t>
      </w:r>
      <w:r>
        <w:rPr>
          <w:rFonts w:ascii="Cambria" w:eastAsia="Cambria" w:hAnsi="Cambria" w:cs="Cambria"/>
          <w:i/>
          <w:sz w:val="24"/>
        </w:rPr>
        <w:t>(vyplní uchazeč)</w:t>
      </w:r>
    </w:p>
    <w:tbl>
      <w:tblPr>
        <w:tblStyle w:val="a"/>
        <w:tblW w:w="102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1959"/>
        <w:gridCol w:w="1958"/>
        <w:gridCol w:w="1958"/>
      </w:tblGrid>
      <w:tr w:rsidR="007A455C" w:rsidTr="007A455C">
        <w:trPr>
          <w:trHeight w:val="454"/>
          <w:jc w:val="center"/>
        </w:trPr>
        <w:tc>
          <w:tcPr>
            <w:tcW w:w="4375" w:type="dxa"/>
            <w:shd w:val="clear" w:color="auto" w:fill="D9D9D9" w:themeFill="background1" w:themeFillShade="D9"/>
          </w:tcPr>
          <w:p w:rsidR="007A455C" w:rsidRDefault="007A455C">
            <w:pPr>
              <w:spacing w:line="240" w:lineRule="auto"/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7A455C" w:rsidRDefault="007A455C" w:rsidP="007A455C">
            <w:pPr>
              <w:spacing w:line="240" w:lineRule="auto"/>
              <w:jc w:val="center"/>
            </w:pPr>
            <w:r>
              <w:rPr>
                <w:b/>
                <w:sz w:val="18"/>
              </w:rPr>
              <w:t>Cena bez DPH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A455C" w:rsidRDefault="007A455C" w:rsidP="007A455C">
            <w:pPr>
              <w:spacing w:line="240" w:lineRule="auto"/>
              <w:jc w:val="center"/>
            </w:pPr>
            <w:r>
              <w:rPr>
                <w:b/>
                <w:sz w:val="18"/>
              </w:rPr>
              <w:t>Částka DPH (21%)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A455C" w:rsidRDefault="007A455C" w:rsidP="007A455C">
            <w:pPr>
              <w:spacing w:line="240" w:lineRule="auto"/>
              <w:jc w:val="center"/>
            </w:pPr>
            <w:r>
              <w:rPr>
                <w:b/>
                <w:sz w:val="18"/>
              </w:rPr>
              <w:t xml:space="preserve">Cena celkem </w:t>
            </w:r>
            <w:r>
              <w:rPr>
                <w:b/>
                <w:sz w:val="18"/>
              </w:rPr>
              <w:br/>
              <w:t xml:space="preserve">s DPH </w:t>
            </w: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Pr="002D0B39" w:rsidRDefault="007A455C" w:rsidP="00C80B07">
            <w:pPr>
              <w:spacing w:before="60" w:after="60" w:line="240" w:lineRule="auto"/>
              <w:rPr>
                <w:b/>
              </w:rPr>
            </w:pPr>
            <w:r w:rsidRPr="002D0B39">
              <w:rPr>
                <w:b/>
                <w:sz w:val="18"/>
              </w:rPr>
              <w:t>Předimplementační analýza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B119B3">
            <w:pPr>
              <w:spacing w:before="60" w:after="60" w:line="240" w:lineRule="auto"/>
            </w:pPr>
            <w:r>
              <w:rPr>
                <w:b/>
                <w:sz w:val="18"/>
              </w:rPr>
              <w:t xml:space="preserve">Konsolidace systému </w:t>
            </w:r>
            <w:r w:rsidRPr="00A85B22">
              <w:rPr>
                <w:b/>
                <w:sz w:val="18"/>
              </w:rPr>
              <w:t>adresářové služby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Zajištění podkladových licencí serverových operačních systémů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Konsolidace prostředí virtualizace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Konsolidace databázového systému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Optimalizace diskového uložiště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Optimalizace systému zálohování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Optimalizace lokality záloh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Servisní a technická podpora</w:t>
            </w:r>
            <w:r w:rsidR="00A85B22">
              <w:rPr>
                <w:b/>
                <w:sz w:val="18"/>
              </w:rPr>
              <w:t xml:space="preserve"> *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CELKOVÁ CENA ČÁST A.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</w:tbl>
    <w:p w:rsidR="00F41FBC" w:rsidRDefault="002D0B39" w:rsidP="002D0B39">
      <w:pPr>
        <w:spacing w:before="2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b/>
          <w:sz w:val="24"/>
        </w:rPr>
        <w:t>Část B.</w:t>
      </w:r>
      <w:r w:rsidR="00B92BA4">
        <w:rPr>
          <w:rFonts w:ascii="Cambria" w:eastAsia="Cambria" w:hAnsi="Cambria" w:cs="Cambria"/>
          <w:b/>
          <w:sz w:val="24"/>
        </w:rPr>
        <w:t xml:space="preserve"> Rozvoj služeb TC ORP - vybudování Portálu GIS ORP Č</w:t>
      </w:r>
      <w:r w:rsidR="002B65B1">
        <w:rPr>
          <w:rFonts w:ascii="Cambria" w:eastAsia="Cambria" w:hAnsi="Cambria" w:cs="Cambria"/>
          <w:b/>
          <w:sz w:val="24"/>
        </w:rPr>
        <w:t>eský Krumlov</w:t>
      </w:r>
      <w:r w:rsidR="00B92BA4">
        <w:rPr>
          <w:rFonts w:ascii="Cambria" w:eastAsia="Cambria" w:hAnsi="Cambria" w:cs="Cambria"/>
          <w:b/>
          <w:sz w:val="24"/>
        </w:rPr>
        <w:t xml:space="preserve"> </w:t>
      </w:r>
      <w:r w:rsidR="00B92BA4">
        <w:rPr>
          <w:rFonts w:ascii="Cambria" w:eastAsia="Cambria" w:hAnsi="Cambria" w:cs="Cambria"/>
          <w:i/>
          <w:sz w:val="24"/>
        </w:rPr>
        <w:t>(vyplní uchazeč)</w:t>
      </w:r>
    </w:p>
    <w:tbl>
      <w:tblPr>
        <w:tblStyle w:val="a"/>
        <w:tblW w:w="102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1959"/>
        <w:gridCol w:w="1958"/>
        <w:gridCol w:w="1958"/>
      </w:tblGrid>
      <w:tr w:rsidR="007A455C" w:rsidTr="007A455C">
        <w:trPr>
          <w:trHeight w:val="454"/>
          <w:jc w:val="center"/>
        </w:trPr>
        <w:tc>
          <w:tcPr>
            <w:tcW w:w="4375" w:type="dxa"/>
            <w:shd w:val="clear" w:color="auto" w:fill="D9D9D9" w:themeFill="background1" w:themeFillShade="D9"/>
          </w:tcPr>
          <w:p w:rsidR="007A455C" w:rsidRDefault="007A455C" w:rsidP="00213EF0">
            <w:pPr>
              <w:spacing w:line="240" w:lineRule="auto"/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7A455C" w:rsidRDefault="007A455C" w:rsidP="00213EF0">
            <w:pPr>
              <w:spacing w:line="240" w:lineRule="auto"/>
              <w:jc w:val="center"/>
            </w:pPr>
            <w:r>
              <w:rPr>
                <w:b/>
                <w:sz w:val="18"/>
              </w:rPr>
              <w:t>Cena bez DPH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A455C" w:rsidRDefault="007A455C" w:rsidP="00213EF0">
            <w:pPr>
              <w:spacing w:line="240" w:lineRule="auto"/>
              <w:jc w:val="center"/>
            </w:pPr>
            <w:r>
              <w:rPr>
                <w:b/>
                <w:sz w:val="18"/>
              </w:rPr>
              <w:t>Částka DPH (21%)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A455C" w:rsidRDefault="007A455C" w:rsidP="00213EF0">
            <w:pPr>
              <w:spacing w:line="240" w:lineRule="auto"/>
              <w:jc w:val="center"/>
            </w:pPr>
            <w:r>
              <w:rPr>
                <w:b/>
                <w:sz w:val="18"/>
              </w:rPr>
              <w:t xml:space="preserve">Cena celkem </w:t>
            </w:r>
            <w:r>
              <w:rPr>
                <w:b/>
                <w:sz w:val="18"/>
              </w:rPr>
              <w:br/>
              <w:t xml:space="preserve">s DPH </w:t>
            </w: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Pr="002D0B39" w:rsidRDefault="007A455C" w:rsidP="00C80B07">
            <w:pPr>
              <w:spacing w:before="60" w:after="60" w:line="240" w:lineRule="auto"/>
              <w:rPr>
                <w:b/>
              </w:rPr>
            </w:pPr>
            <w:r w:rsidRPr="002D0B39">
              <w:rPr>
                <w:b/>
                <w:sz w:val="18"/>
              </w:rPr>
              <w:t>Předimplementační analýza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Webový portál včetně redakčního systému (CMS) a integrace na Identity management (IDM)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Mapové aplikace (mapové klienty)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Výdejní služby (nástroje)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Metainformační systém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Datový sklad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Servisní a technická podpora</w:t>
            </w:r>
            <w:r w:rsidR="00A85B22">
              <w:rPr>
                <w:b/>
                <w:sz w:val="18"/>
              </w:rPr>
              <w:t xml:space="preserve"> *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CELKOVÁ CENA ČÁST </w:t>
            </w:r>
            <w:r w:rsidR="00A85B22"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</w:tbl>
    <w:p w:rsidR="00F41FBC" w:rsidRDefault="002D0B39" w:rsidP="002D0B39">
      <w:pPr>
        <w:spacing w:before="2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b/>
          <w:sz w:val="24"/>
        </w:rPr>
        <w:t>Část C.</w:t>
      </w:r>
      <w:r w:rsidR="00B92BA4">
        <w:rPr>
          <w:rFonts w:ascii="Cambria" w:eastAsia="Cambria" w:hAnsi="Cambria" w:cs="Cambria"/>
          <w:b/>
          <w:sz w:val="24"/>
        </w:rPr>
        <w:t xml:space="preserve"> Zvýšení bezpe</w:t>
      </w:r>
      <w:r w:rsidR="002B65B1">
        <w:rPr>
          <w:rFonts w:ascii="Cambria" w:eastAsia="Cambria" w:hAnsi="Cambria" w:cs="Cambria"/>
          <w:b/>
          <w:sz w:val="24"/>
        </w:rPr>
        <w:t xml:space="preserve">čnosti infrastruktury TC ORP Český Krumlov </w:t>
      </w:r>
      <w:r w:rsidR="00B92BA4">
        <w:rPr>
          <w:rFonts w:ascii="Cambria" w:eastAsia="Cambria" w:hAnsi="Cambria" w:cs="Cambria"/>
          <w:i/>
          <w:sz w:val="24"/>
        </w:rPr>
        <w:t>(vyplní uchazeč)</w:t>
      </w:r>
    </w:p>
    <w:tbl>
      <w:tblPr>
        <w:tblStyle w:val="a"/>
        <w:tblW w:w="102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1959"/>
        <w:gridCol w:w="1958"/>
        <w:gridCol w:w="1958"/>
      </w:tblGrid>
      <w:tr w:rsidR="007A455C" w:rsidTr="007A455C">
        <w:trPr>
          <w:trHeight w:val="454"/>
          <w:jc w:val="center"/>
        </w:trPr>
        <w:tc>
          <w:tcPr>
            <w:tcW w:w="4375" w:type="dxa"/>
            <w:shd w:val="clear" w:color="auto" w:fill="D9D9D9" w:themeFill="background1" w:themeFillShade="D9"/>
          </w:tcPr>
          <w:p w:rsidR="007A455C" w:rsidRDefault="007A455C" w:rsidP="00213EF0">
            <w:pPr>
              <w:spacing w:line="240" w:lineRule="auto"/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7A455C" w:rsidRDefault="007A455C" w:rsidP="00213EF0">
            <w:pPr>
              <w:spacing w:line="240" w:lineRule="auto"/>
              <w:jc w:val="center"/>
            </w:pPr>
            <w:r>
              <w:rPr>
                <w:b/>
                <w:sz w:val="18"/>
              </w:rPr>
              <w:t>Cena bez DPH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A455C" w:rsidRDefault="007A455C" w:rsidP="00213EF0">
            <w:pPr>
              <w:spacing w:line="240" w:lineRule="auto"/>
              <w:jc w:val="center"/>
            </w:pPr>
            <w:r>
              <w:rPr>
                <w:b/>
                <w:sz w:val="18"/>
              </w:rPr>
              <w:t>Částka DPH (21%)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A455C" w:rsidRDefault="007A455C" w:rsidP="00213EF0">
            <w:pPr>
              <w:spacing w:line="240" w:lineRule="auto"/>
              <w:jc w:val="center"/>
            </w:pPr>
            <w:r>
              <w:rPr>
                <w:b/>
                <w:sz w:val="18"/>
              </w:rPr>
              <w:t xml:space="preserve">Cena celkem </w:t>
            </w:r>
            <w:r>
              <w:rPr>
                <w:b/>
                <w:sz w:val="18"/>
              </w:rPr>
              <w:br/>
              <w:t xml:space="preserve">s DPH </w:t>
            </w: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Pr="002D0B39" w:rsidRDefault="007A455C" w:rsidP="00C80B07">
            <w:pPr>
              <w:spacing w:before="60" w:after="60" w:line="240" w:lineRule="auto"/>
              <w:rPr>
                <w:b/>
              </w:rPr>
            </w:pPr>
            <w:r w:rsidRPr="002D0B39">
              <w:rPr>
                <w:b/>
                <w:sz w:val="18"/>
              </w:rPr>
              <w:t>Předimplementační analýza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Systém centrální správy uživatelských účtů - Identity management (IDM) včetně integrace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>Systém centrální správy koncových stanic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Servisní a technická podpora</w:t>
            </w:r>
            <w:r w:rsidR="00A85B22">
              <w:rPr>
                <w:b/>
                <w:sz w:val="18"/>
              </w:rPr>
              <w:t xml:space="preserve"> *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A85B22" w:rsidP="00C80B07">
            <w:pPr>
              <w:spacing w:before="60" w:after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CELKOVÁ CENA ČÁST C</w:t>
            </w:r>
            <w:r w:rsidR="007A455C">
              <w:rPr>
                <w:b/>
                <w:sz w:val="18"/>
              </w:rPr>
              <w:t>.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</w:tbl>
    <w:p w:rsidR="007A455C" w:rsidRDefault="007A455C" w:rsidP="007A455C">
      <w:pPr>
        <w:rPr>
          <w:rFonts w:ascii="Cambria" w:eastAsia="Cambria" w:hAnsi="Cambria" w:cs="Cambria"/>
          <w:b/>
          <w:sz w:val="24"/>
        </w:rPr>
      </w:pPr>
    </w:p>
    <w:p w:rsidR="00F41FBC" w:rsidRDefault="002D0B39" w:rsidP="007A455C">
      <w:pPr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Část D.</w:t>
      </w:r>
      <w:r w:rsidR="00B92BA4">
        <w:rPr>
          <w:rFonts w:ascii="Cambria" w:eastAsia="Cambria" w:hAnsi="Cambria" w:cs="Cambria"/>
          <w:b/>
          <w:sz w:val="24"/>
        </w:rPr>
        <w:t xml:space="preserve"> Elektronizace podání a vnitřních procesů městského úřadu </w:t>
      </w:r>
      <w:r w:rsidR="00B92BA4">
        <w:rPr>
          <w:rFonts w:ascii="Cambria" w:eastAsia="Cambria" w:hAnsi="Cambria" w:cs="Cambria"/>
          <w:i/>
          <w:sz w:val="24"/>
        </w:rPr>
        <w:t>(vyplní uchazeč)</w:t>
      </w:r>
    </w:p>
    <w:tbl>
      <w:tblPr>
        <w:tblStyle w:val="a"/>
        <w:tblW w:w="102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1959"/>
        <w:gridCol w:w="1958"/>
        <w:gridCol w:w="1958"/>
      </w:tblGrid>
      <w:tr w:rsidR="007A455C" w:rsidTr="007A455C">
        <w:trPr>
          <w:trHeight w:val="454"/>
          <w:jc w:val="center"/>
        </w:trPr>
        <w:tc>
          <w:tcPr>
            <w:tcW w:w="4375" w:type="dxa"/>
            <w:shd w:val="clear" w:color="auto" w:fill="D9D9D9" w:themeFill="background1" w:themeFillShade="D9"/>
          </w:tcPr>
          <w:p w:rsidR="007A455C" w:rsidRDefault="007A455C" w:rsidP="00213EF0">
            <w:pPr>
              <w:spacing w:line="240" w:lineRule="auto"/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7A455C" w:rsidRDefault="007A455C" w:rsidP="00213EF0">
            <w:pPr>
              <w:spacing w:line="240" w:lineRule="auto"/>
              <w:jc w:val="center"/>
            </w:pPr>
            <w:r>
              <w:rPr>
                <w:b/>
                <w:sz w:val="18"/>
              </w:rPr>
              <w:t>Cena bez DPH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A455C" w:rsidRDefault="007A455C" w:rsidP="00213EF0">
            <w:pPr>
              <w:spacing w:line="240" w:lineRule="auto"/>
              <w:jc w:val="center"/>
            </w:pPr>
            <w:r>
              <w:rPr>
                <w:b/>
                <w:sz w:val="18"/>
              </w:rPr>
              <w:t>Částka DPH (21%)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A455C" w:rsidRDefault="007A455C" w:rsidP="00213EF0">
            <w:pPr>
              <w:spacing w:line="240" w:lineRule="auto"/>
              <w:jc w:val="center"/>
            </w:pPr>
            <w:r>
              <w:rPr>
                <w:b/>
                <w:sz w:val="18"/>
              </w:rPr>
              <w:t xml:space="preserve">Cena celkem </w:t>
            </w:r>
            <w:r>
              <w:rPr>
                <w:b/>
                <w:sz w:val="18"/>
              </w:rPr>
              <w:br/>
              <w:t xml:space="preserve">s DPH </w:t>
            </w: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Pr="002D0B39" w:rsidRDefault="007A455C" w:rsidP="00C80B07">
            <w:pPr>
              <w:spacing w:before="60" w:after="60" w:line="240" w:lineRule="auto"/>
              <w:rPr>
                <w:b/>
              </w:rPr>
            </w:pPr>
            <w:r w:rsidRPr="002D0B39">
              <w:rPr>
                <w:b/>
                <w:sz w:val="18"/>
              </w:rPr>
              <w:t>Předimplementační analýza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  <w:rPr>
                <w:b/>
                <w:sz w:val="18"/>
              </w:rPr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FC1255">
            <w:pPr>
              <w:spacing w:before="60" w:after="60" w:line="240" w:lineRule="auto"/>
            </w:pPr>
            <w:r>
              <w:rPr>
                <w:b/>
                <w:sz w:val="18"/>
              </w:rPr>
              <w:t>Systém pro tvorbu elektronických formulářů</w:t>
            </w:r>
            <w:r w:rsidR="00FC1255">
              <w:rPr>
                <w:b/>
                <w:sz w:val="18"/>
              </w:rPr>
              <w:t xml:space="preserve"> včetně integrace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667283" w:rsidP="00667283">
            <w:pPr>
              <w:spacing w:before="60" w:after="60" w:line="240" w:lineRule="auto"/>
            </w:pPr>
            <w:r>
              <w:rPr>
                <w:b/>
                <w:sz w:val="18"/>
              </w:rPr>
              <w:t>„Portál pro e</w:t>
            </w:r>
            <w:r w:rsidR="007A455C">
              <w:rPr>
                <w:b/>
                <w:sz w:val="18"/>
              </w:rPr>
              <w:t>lektronické podání ”</w:t>
            </w:r>
            <w:r w:rsidR="00FC1255">
              <w:rPr>
                <w:b/>
                <w:sz w:val="18"/>
              </w:rPr>
              <w:t xml:space="preserve"> včetně integrace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667283">
            <w:pPr>
              <w:spacing w:before="60" w:after="60" w:line="240" w:lineRule="auto"/>
            </w:pPr>
            <w:r>
              <w:rPr>
                <w:b/>
                <w:sz w:val="18"/>
              </w:rPr>
              <w:t xml:space="preserve">Elektronizace podání včetně sady formulářů 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</w:pPr>
            <w:r>
              <w:rPr>
                <w:b/>
                <w:sz w:val="18"/>
              </w:rPr>
              <w:t xml:space="preserve">Elektronizace interních procesů úřadu včetně sady formulářů 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7A455C" w:rsidP="00C80B07">
            <w:pPr>
              <w:spacing w:before="60" w:after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Servisní a technická podpora</w:t>
            </w:r>
            <w:r w:rsidR="00A85B22">
              <w:rPr>
                <w:b/>
                <w:sz w:val="18"/>
              </w:rPr>
              <w:t xml:space="preserve"> *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  <w:tr w:rsidR="007A455C" w:rsidTr="007A455C">
        <w:trPr>
          <w:trHeight w:val="397"/>
          <w:jc w:val="center"/>
        </w:trPr>
        <w:tc>
          <w:tcPr>
            <w:tcW w:w="4375" w:type="dxa"/>
            <w:vAlign w:val="center"/>
          </w:tcPr>
          <w:p w:rsidR="007A455C" w:rsidRDefault="00A85B22" w:rsidP="00C80B07">
            <w:pPr>
              <w:spacing w:before="60" w:after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CELKOVÁ CENA ČÁST D</w:t>
            </w:r>
            <w:r w:rsidR="007A455C">
              <w:rPr>
                <w:b/>
                <w:sz w:val="18"/>
              </w:rPr>
              <w:t>.</w:t>
            </w:r>
          </w:p>
        </w:tc>
        <w:tc>
          <w:tcPr>
            <w:tcW w:w="1959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  <w:tc>
          <w:tcPr>
            <w:tcW w:w="1958" w:type="dxa"/>
            <w:vAlign w:val="center"/>
          </w:tcPr>
          <w:p w:rsidR="007A455C" w:rsidRDefault="007A455C" w:rsidP="00C80B07">
            <w:pPr>
              <w:spacing w:line="240" w:lineRule="auto"/>
              <w:jc w:val="right"/>
            </w:pPr>
          </w:p>
        </w:tc>
      </w:tr>
    </w:tbl>
    <w:p w:rsidR="00F41FBC" w:rsidRDefault="00F41FBC" w:rsidP="00C8617A">
      <w:pPr>
        <w:spacing w:line="240" w:lineRule="auto"/>
      </w:pPr>
    </w:p>
    <w:p w:rsidR="00C8617A" w:rsidRPr="00C8617A" w:rsidRDefault="00C8617A" w:rsidP="00C8617A">
      <w:pPr>
        <w:jc w:val="both"/>
        <w:rPr>
          <w:i/>
        </w:rPr>
      </w:pPr>
      <w:r w:rsidRPr="00C8617A">
        <w:rPr>
          <w:i/>
        </w:rPr>
        <w:t xml:space="preserve">* Cenová kalkulace servisní a technické podpory a software maintenance musí být rozdělena na 1. rok provozu, ve kterém je servisní a technická podpora a software maintenance poskytována bezplatně, a na 2. - 5. rok provozu. Více o záruce a podpoře je uvedeno v odst. 13.2 </w:t>
      </w:r>
      <w:r>
        <w:rPr>
          <w:i/>
        </w:rPr>
        <w:t>Výzvy k podání nabídky.</w:t>
      </w:r>
    </w:p>
    <w:sectPr w:rsidR="00C8617A" w:rsidRPr="00C8617A" w:rsidSect="007A455C">
      <w:headerReference w:type="default" r:id="rId6"/>
      <w:pgSz w:w="11906" w:h="16838"/>
      <w:pgMar w:top="1418" w:right="720" w:bottom="1418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0A" w:rsidRDefault="00EF2D0A" w:rsidP="00EF2D0A">
      <w:pPr>
        <w:spacing w:line="240" w:lineRule="auto"/>
      </w:pPr>
      <w:r>
        <w:separator/>
      </w:r>
    </w:p>
  </w:endnote>
  <w:endnote w:type="continuationSeparator" w:id="0">
    <w:p w:rsidR="00EF2D0A" w:rsidRDefault="00EF2D0A" w:rsidP="00EF2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0A" w:rsidRDefault="00EF2D0A" w:rsidP="00EF2D0A">
      <w:pPr>
        <w:spacing w:line="240" w:lineRule="auto"/>
      </w:pPr>
      <w:r>
        <w:separator/>
      </w:r>
    </w:p>
  </w:footnote>
  <w:footnote w:type="continuationSeparator" w:id="0">
    <w:p w:rsidR="00EF2D0A" w:rsidRDefault="00EF2D0A" w:rsidP="00EF2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A" w:rsidRDefault="00EF2D0A">
    <w:pPr>
      <w:pStyle w:val="Zhlav"/>
    </w:pPr>
    <w:r>
      <w:rPr>
        <w:noProof/>
      </w:rPr>
      <w:drawing>
        <wp:inline distT="0" distB="0" distL="0" distR="0">
          <wp:extent cx="6645910" cy="473710"/>
          <wp:effectExtent l="0" t="0" r="254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i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C"/>
    <w:rsid w:val="002B65B1"/>
    <w:rsid w:val="002D0B39"/>
    <w:rsid w:val="003E27F5"/>
    <w:rsid w:val="00446AC4"/>
    <w:rsid w:val="005961E2"/>
    <w:rsid w:val="00667283"/>
    <w:rsid w:val="007A455C"/>
    <w:rsid w:val="009477AD"/>
    <w:rsid w:val="00A85B22"/>
    <w:rsid w:val="00B119B3"/>
    <w:rsid w:val="00B92BA4"/>
    <w:rsid w:val="00C80B07"/>
    <w:rsid w:val="00C8617A"/>
    <w:rsid w:val="00EF2D0A"/>
    <w:rsid w:val="00F41FBC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89E81D47-D83F-4DAE-98BE-B086672B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mezer">
    <w:name w:val="No Spacing"/>
    <w:uiPriority w:val="1"/>
    <w:qFormat/>
    <w:rsid w:val="007A455C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EF2D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D0A"/>
  </w:style>
  <w:style w:type="paragraph" w:styleId="Zpat">
    <w:name w:val="footer"/>
    <w:basedOn w:val="Normln"/>
    <w:link w:val="ZpatChar"/>
    <w:uiPriority w:val="99"/>
    <w:unhideWhenUsed/>
    <w:rsid w:val="00EF2D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D0A"/>
  </w:style>
  <w:style w:type="paragraph" w:styleId="Textbubliny">
    <w:name w:val="Balloon Text"/>
    <w:basedOn w:val="Normln"/>
    <w:link w:val="TextbublinyChar"/>
    <w:uiPriority w:val="99"/>
    <w:semiHidden/>
    <w:unhideWhenUsed/>
    <w:rsid w:val="00667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Priloha_c2_Nabidkova_cena.docx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Priloha_c2_Nabidkova_cena.docx</dc:title>
  <dc:creator>adm03</dc:creator>
  <cp:lastModifiedBy>Jan Lippl</cp:lastModifiedBy>
  <cp:revision>13</cp:revision>
  <dcterms:created xsi:type="dcterms:W3CDTF">2015-02-17T12:52:00Z</dcterms:created>
  <dcterms:modified xsi:type="dcterms:W3CDTF">2015-04-07T13:00:00Z</dcterms:modified>
</cp:coreProperties>
</file>