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E0980">
              <w:rPr>
                <w:rFonts w:asciiTheme="minorHAnsi" w:hAnsiTheme="minorHAnsi"/>
                <w:b/>
                <w:bCs/>
                <w:sz w:val="32"/>
                <w:szCs w:val="32"/>
              </w:rPr>
              <w:t>16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8E0980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10. 8. 2015</w:t>
            </w: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8E0980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10. 8. 2015</w:t>
            </w:r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530E8" w:rsidRDefault="00BA45D4" w:rsidP="003D7811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530E8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530E8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530E8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30E8" w:rsidRDefault="00D530E8" w:rsidP="008E0980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3D7811" w:rsidRDefault="00A33DAE" w:rsidP="008E0980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Část stavby (SO, PS): </w:t>
            </w:r>
            <w:r w:rsidR="005A3D9B" w:rsidRPr="00D530E8">
              <w:rPr>
                <w:rFonts w:asciiTheme="minorHAnsi" w:hAnsiTheme="minorHAnsi"/>
                <w:sz w:val="22"/>
                <w:szCs w:val="22"/>
              </w:rPr>
              <w:t>Objekt M7</w:t>
            </w:r>
            <w:r w:rsidR="009E0EB5" w:rsidRPr="00D530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 w:rsidRPr="00D530E8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D530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A3D9B" w:rsidRPr="00D530E8">
              <w:rPr>
                <w:rFonts w:asciiTheme="minorHAnsi" w:hAnsiTheme="minorHAnsi"/>
                <w:sz w:val="22"/>
                <w:szCs w:val="22"/>
              </w:rPr>
              <w:t xml:space="preserve">Klášterní kostel – </w:t>
            </w:r>
            <w:r w:rsidR="008E0980" w:rsidRPr="00D530E8">
              <w:rPr>
                <w:rFonts w:asciiTheme="minorHAnsi" w:hAnsiTheme="minorHAnsi"/>
                <w:sz w:val="22"/>
                <w:szCs w:val="22"/>
              </w:rPr>
              <w:t>uměleckořemeslné opravy mobiliáře</w:t>
            </w:r>
          </w:p>
          <w:p w:rsidR="00D530E8" w:rsidRPr="00D530E8" w:rsidRDefault="00D530E8" w:rsidP="008E0980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E8" w:rsidRDefault="00D530E8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</w:p>
          <w:p w:rsidR="00B338E1" w:rsidRPr="00D530E8" w:rsidRDefault="008B27E8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  <w:r w:rsidRPr="00D530E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Stávající stav: </w:t>
            </w:r>
          </w:p>
          <w:p w:rsidR="00B338E1" w:rsidRDefault="008E0980" w:rsidP="008955E0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 rámci přípravy prací spojených s obnovou kostela v souladu s původní platnou PD (nové rozvody EI a slaboproudu, opravy oken apod.) bylo nutné sejmout nebo přesunout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části mobiliáře během manipulace s mobiliářem bylo zjištěno, že se nachází v mnohem horším stavu, než bylo patrné vizuálně, sochy a obrazy byly umístěné ve výšce i více než 4m, kostelní lavice jsou částečně vestavěné nebo pevně spjaté se stavbou (kruchta, </w:t>
            </w:r>
            <w:proofErr w:type="spellStart"/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podkruchtí</w:t>
            </w:r>
            <w:proofErr w:type="spellEnd"/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kůr) nebo rozměrné (hlavní loď), a to zejména z důvodu silného napadení dřevokazným hmyzem. 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Dalším problémem, který byl zjištěn při demontáži zejména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kostelních lavic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je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napadení houbou a hnilobou z důvodu vyšší vlhkosti obvodového zdiva 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 celém obvodu 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kostela.</w:t>
            </w:r>
            <w:r w:rsidR="00143094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Pro opravu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stavebně 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poškozených částí interiéru,</w:t>
            </w:r>
            <w:r w:rsidR="00143094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defektů stavebních i na vybavení kostela,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které byly objeveny po demontáži části vybavení (oltáře, </w:t>
            </w:r>
            <w:proofErr w:type="spellStart"/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sakristijní</w:t>
            </w:r>
            <w:proofErr w:type="spellEnd"/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skříň apod.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viz ZL15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), byl </w:t>
            </w:r>
            <w:r w:rsidR="00FF79C5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na základě doporučení SPP </w:t>
            </w:r>
            <w:r w:rsidR="00B338E1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zpracován projektantem projekt obnovy interiéru.</w:t>
            </w:r>
            <w:r w:rsidR="00143094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Stav mobiliáře nebylo možné zjisti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t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bez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jeho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demontáže a v některých případech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nebyl přístupný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bez </w:t>
            </w:r>
            <w:r w:rsid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předchozího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postavení lešení.</w:t>
            </w:r>
          </w:p>
          <w:p w:rsidR="00D530E8" w:rsidRPr="00D530E8" w:rsidRDefault="00D530E8" w:rsidP="008955E0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3094" w:rsidRPr="00D530E8" w:rsidRDefault="00143094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</w:p>
          <w:p w:rsidR="00E74F43" w:rsidRPr="00D530E8" w:rsidRDefault="008B27E8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  <w:r w:rsidRPr="00D530E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 w:rsidRPr="00D530E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43094" w:rsidRDefault="00B338E1" w:rsidP="008955E0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Provedení 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řemeslné opravy mobiliáře kostela dle zpracované PD na návrhů Národního památkového ústavu – územního pracoviště v Českých Budějovicích</w:t>
            </w:r>
            <w:r w:rsidR="00143094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  <w:p w:rsidR="00D530E8" w:rsidRPr="00D530E8" w:rsidRDefault="00D530E8" w:rsidP="008955E0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53CF" w:rsidRPr="00D530E8" w:rsidRDefault="003153CF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</w:p>
          <w:p w:rsidR="00143094" w:rsidRPr="00D530E8" w:rsidRDefault="008B27E8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  <w:r w:rsidRPr="00D530E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143094" w:rsidRPr="00D530E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3153CF" w:rsidRDefault="00D530E8" w:rsidP="00D530E8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Umělecko-řemeslná a restaurátorská odborná oprava cenných historických uměleckořemeslných částí kostela. Tyto prvky jsou nedílnou součástí funkčního celku (liturgického prostoru) klášterního kostela a ve většině jsou i spjaté s konstrukčně se stavbou, bez nichž není objekt chopen plnit svou primární funkci. Ponechání těchto prvků ve stávajícím stavu (napadení dřevokazným hmyzem, houbou a hnilobou) by do budoucna mohlo být ohrožující i pro restaurované části mobiliáře.</w:t>
            </w:r>
          </w:p>
          <w:p w:rsidR="00D530E8" w:rsidRPr="00D530E8" w:rsidRDefault="00D530E8" w:rsidP="00D530E8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CF" w:rsidRPr="00D530E8" w:rsidRDefault="003153CF" w:rsidP="003D7811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8B27E8" w:rsidRPr="00D530E8" w:rsidRDefault="008B27E8" w:rsidP="003D7811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Přílohy ZL: </w:t>
            </w:r>
            <w:r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43094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projektová dokumentace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 fotodokumentací prvků</w:t>
            </w:r>
            <w:r w:rsidR="00143094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vyjádření a do</w:t>
            </w:r>
            <w:r w:rsidR="008955E0" w:rsidRPr="00D530E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poručení státní památkové péče.</w:t>
            </w:r>
          </w:p>
          <w:p w:rsidR="003153CF" w:rsidRPr="00D530E8" w:rsidRDefault="003153CF" w:rsidP="003D7811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CF" w:rsidRPr="00D530E8" w:rsidRDefault="003153CF" w:rsidP="0014309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DB48D5" w:rsidRPr="00D530E8" w:rsidRDefault="00DB48D5" w:rsidP="0014309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 w:rsidRPr="00D530E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</w:t>
            </w:r>
            <w:r w:rsidR="00D530E8" w:rsidRPr="00D530E8">
              <w:rPr>
                <w:rFonts w:asciiTheme="minorHAnsi" w:hAnsiTheme="minorHAnsi"/>
                <w:b/>
                <w:sz w:val="22"/>
                <w:szCs w:val="22"/>
              </w:rPr>
              <w:t>2.457.434,22</w:t>
            </w:r>
            <w:r w:rsidR="00386DF6"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3153CF" w:rsidRPr="00D530E8" w:rsidRDefault="003153CF" w:rsidP="0014309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5640AE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ZL</w:t>
            </w:r>
            <w:r w:rsidR="00DB48D5"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D530E8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Pr="00D530E8" w:rsidRDefault="00DB48D5" w:rsidP="005640AE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 w:rsidRPr="00D530E8">
              <w:rPr>
                <w:sz w:val="22"/>
                <w:szCs w:val="22"/>
              </w:rPr>
              <w:t xml:space="preserve"> </w:t>
            </w:r>
            <w:r w:rsidRPr="00D530E8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530E8" w:rsidRDefault="00DB48D5" w:rsidP="00DB48D5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e-mail:</w:t>
            </w:r>
            <w:r w:rsidRPr="00D530E8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Pr="00D530E8" w:rsidRDefault="008B27E8" w:rsidP="005640AE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530E8">
              <w:rPr>
                <w:rFonts w:asciiTheme="minorHAnsi" w:hAnsiTheme="minorHAnsi"/>
                <w:b/>
                <w:sz w:val="22"/>
                <w:szCs w:val="22"/>
              </w:rPr>
              <w:t>10.8.2015</w:t>
            </w:r>
            <w:proofErr w:type="gramEnd"/>
          </w:p>
          <w:p w:rsidR="00DB48D5" w:rsidRPr="00D530E8" w:rsidRDefault="00DB48D5" w:rsidP="005640AE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DB48D5" w:rsidRPr="00D530E8" w:rsidRDefault="00DB48D5" w:rsidP="005640AE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Jan Kandlík</w:t>
            </w:r>
          </w:p>
          <w:p w:rsidR="008B27E8" w:rsidRPr="00D530E8" w:rsidRDefault="008B27E8" w:rsidP="00D530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 w:rsidRPr="00D530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530E8">
              <w:rPr>
                <w:rFonts w:asciiTheme="minorHAnsi" w:hAnsiTheme="minorHAnsi"/>
                <w:sz w:val="22"/>
                <w:szCs w:val="22"/>
              </w:rPr>
              <w:t>10.8.2015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D530E8" w:rsidRDefault="00492385" w:rsidP="008B27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Mgr. Dalibor Carda – starosta města</w:t>
            </w:r>
          </w:p>
          <w:p w:rsidR="008B27E8" w:rsidRPr="00D530E8" w:rsidRDefault="008B27E8" w:rsidP="00D530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 w:rsidRPr="00D530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530E8">
              <w:rPr>
                <w:rFonts w:asciiTheme="minorHAnsi" w:hAnsiTheme="minorHAnsi"/>
                <w:sz w:val="22"/>
                <w:szCs w:val="22"/>
              </w:rPr>
              <w:t>10.8.2015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D530E8" w:rsidRDefault="008B27E8" w:rsidP="00D530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 w:rsidRPr="00D530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530E8">
              <w:rPr>
                <w:rFonts w:asciiTheme="minorHAnsi" w:hAnsiTheme="minorHAnsi"/>
                <w:sz w:val="22"/>
                <w:szCs w:val="22"/>
              </w:rPr>
              <w:t>10.8.2015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D530E8">
              <w:rPr>
                <w:rFonts w:asciiTheme="minorHAnsi" w:hAnsiTheme="minorHAnsi"/>
                <w:sz w:val="22"/>
                <w:szCs w:val="22"/>
              </w:rPr>
              <w:t>Ing.arch</w:t>
            </w:r>
            <w:proofErr w:type="spellEnd"/>
            <w:r w:rsidRPr="00D530E8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  <w:r w:rsidRPr="00D530E8">
              <w:rPr>
                <w:rFonts w:asciiTheme="minorHAnsi" w:hAnsiTheme="minorHAnsi"/>
                <w:sz w:val="22"/>
                <w:szCs w:val="22"/>
              </w:rPr>
              <w:t xml:space="preserve"> Tomáš Šantavý</w:t>
            </w:r>
          </w:p>
          <w:p w:rsidR="008B27E8" w:rsidRPr="00D530E8" w:rsidRDefault="008B27E8" w:rsidP="009A244A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 w:rsidRPr="00D530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A244A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9A244A">
              <w:rPr>
                <w:rFonts w:asciiTheme="minorHAnsi" w:hAnsiTheme="minorHAnsi"/>
                <w:sz w:val="22"/>
                <w:szCs w:val="22"/>
              </w:rPr>
              <w:t xml:space="preserve">….. </w:t>
            </w:r>
            <w:r w:rsidR="00492385" w:rsidRPr="00D530E8">
              <w:rPr>
                <w:rFonts w:asciiTheme="minorHAnsi" w:hAnsiTheme="minorHAnsi"/>
                <w:sz w:val="22"/>
                <w:szCs w:val="22"/>
              </w:rPr>
              <w:t>2015</w:t>
            </w:r>
            <w:bookmarkStart w:id="0" w:name="_GoBack"/>
            <w:bookmarkEnd w:id="0"/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5640AE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D530E8">
              <w:rPr>
                <w:rFonts w:asciiTheme="minorHAnsi" w:hAnsiTheme="minorHAnsi"/>
                <w:b/>
                <w:sz w:val="22"/>
                <w:szCs w:val="22"/>
              </w:rPr>
              <w:t>Připomínky k ZL:</w:t>
            </w:r>
            <w:r w:rsidR="005640AE" w:rsidRPr="00D530E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 w:rsidRPr="00D530E8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530E8" w:rsidRDefault="008B27E8" w:rsidP="008B27E8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49E" w:rsidRDefault="001A749E" w:rsidP="004131CC">
      <w:r>
        <w:separator/>
      </w:r>
    </w:p>
  </w:endnote>
  <w:endnote w:type="continuationSeparator" w:id="0">
    <w:p w:rsidR="001A749E" w:rsidRDefault="001A749E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49E" w:rsidRDefault="001A749E" w:rsidP="004131CC">
      <w:r>
        <w:separator/>
      </w:r>
    </w:p>
  </w:footnote>
  <w:footnote w:type="continuationSeparator" w:id="0">
    <w:p w:rsidR="001A749E" w:rsidRDefault="001A749E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23673"/>
    <w:rsid w:val="00143094"/>
    <w:rsid w:val="00163176"/>
    <w:rsid w:val="0016707A"/>
    <w:rsid w:val="00194F6B"/>
    <w:rsid w:val="001A6D7C"/>
    <w:rsid w:val="001A749E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153CF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A3D9B"/>
    <w:rsid w:val="005B3313"/>
    <w:rsid w:val="00603874"/>
    <w:rsid w:val="006112EC"/>
    <w:rsid w:val="006143CE"/>
    <w:rsid w:val="00636FC9"/>
    <w:rsid w:val="0065370E"/>
    <w:rsid w:val="00654A43"/>
    <w:rsid w:val="00661EFE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74773B"/>
    <w:rsid w:val="00774B03"/>
    <w:rsid w:val="007B0077"/>
    <w:rsid w:val="00826BC1"/>
    <w:rsid w:val="00831763"/>
    <w:rsid w:val="00834DA2"/>
    <w:rsid w:val="00865543"/>
    <w:rsid w:val="008955E0"/>
    <w:rsid w:val="008A00FB"/>
    <w:rsid w:val="008A0D40"/>
    <w:rsid w:val="008B27E8"/>
    <w:rsid w:val="008B68CE"/>
    <w:rsid w:val="008C3054"/>
    <w:rsid w:val="008E0980"/>
    <w:rsid w:val="008E6E90"/>
    <w:rsid w:val="00901274"/>
    <w:rsid w:val="00917C98"/>
    <w:rsid w:val="00933C06"/>
    <w:rsid w:val="00940F77"/>
    <w:rsid w:val="00941CCE"/>
    <w:rsid w:val="00946DB9"/>
    <w:rsid w:val="009548B1"/>
    <w:rsid w:val="00965ADA"/>
    <w:rsid w:val="009A244A"/>
    <w:rsid w:val="009A2689"/>
    <w:rsid w:val="009B5836"/>
    <w:rsid w:val="009B704F"/>
    <w:rsid w:val="009D0DD6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338E1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42C0"/>
    <w:rsid w:val="00C86589"/>
    <w:rsid w:val="00CD11A3"/>
    <w:rsid w:val="00CF5C69"/>
    <w:rsid w:val="00D27DCD"/>
    <w:rsid w:val="00D408F5"/>
    <w:rsid w:val="00D422C2"/>
    <w:rsid w:val="00D50F4B"/>
    <w:rsid w:val="00D530E8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dcterms:created xsi:type="dcterms:W3CDTF">2015-04-30T03:54:00Z</dcterms:created>
  <dcterms:modified xsi:type="dcterms:W3CDTF">2015-08-14T18:10:00Z</dcterms:modified>
</cp:coreProperties>
</file>